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3F1C33">
      <w:pPr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</w:pPr>
    </w:p>
    <w:p w14:paraId="2CBF7B1C">
      <w:pPr>
        <w:spacing w:line="360" w:lineRule="auto"/>
        <w:jc w:val="center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国道扎公线（G608）镇赉至到保段改扩建工程勘察设计</w:t>
      </w:r>
    </w:p>
    <w:p w14:paraId="1568D62E">
      <w:pPr>
        <w:spacing w:line="360" w:lineRule="auto"/>
        <w:jc w:val="center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招标文件关键内容信息公开</w:t>
      </w:r>
    </w:p>
    <w:p w14:paraId="50600C07">
      <w:pPr>
        <w:spacing w:before="74" w:line="223" w:lineRule="auto"/>
        <w:ind w:left="21"/>
        <w:rPr>
          <w:rFonts w:hint="eastAsia" w:ascii="宋体" w:hAnsi="宋体" w:eastAsia="宋体" w:cs="宋体"/>
          <w:b/>
          <w:bCs/>
          <w:spacing w:val="-6"/>
          <w:sz w:val="21"/>
          <w:szCs w:val="21"/>
        </w:rPr>
      </w:pPr>
    </w:p>
    <w:p w14:paraId="502DC392">
      <w:pPr>
        <w:spacing w:before="74" w:line="223" w:lineRule="auto"/>
        <w:ind w:left="21"/>
        <w:rPr>
          <w:rFonts w:hint="eastAsia" w:ascii="宋体" w:hAnsi="宋体" w:eastAsia="宋体" w:cs="宋体"/>
          <w:b/>
          <w:bCs/>
          <w:spacing w:val="-6"/>
          <w:sz w:val="21"/>
          <w:szCs w:val="21"/>
        </w:rPr>
      </w:pPr>
    </w:p>
    <w:p w14:paraId="0816E691">
      <w:pPr>
        <w:tabs>
          <w:tab w:val="left" w:pos="0"/>
        </w:tabs>
        <w:spacing w:beforeLines="0" w:afterLines="0" w:line="360" w:lineRule="auto"/>
        <w:rPr>
          <w:rFonts w:hint="eastAsia" w:ascii="黑体" w:hAnsi="Times New Roman" w:eastAsia="黑体" w:cs="Times New Roman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Times New Roman" w:eastAsia="黑体" w:cs="Times New Roman"/>
          <w:b w:val="0"/>
          <w:bCs w:val="0"/>
          <w:kern w:val="2"/>
          <w:sz w:val="28"/>
          <w:szCs w:val="28"/>
          <w:lang w:val="en-US" w:eastAsia="zh-CN" w:bidi="ar-SA"/>
        </w:rPr>
        <w:t>1.招标条件</w:t>
      </w:r>
    </w:p>
    <w:p w14:paraId="1B472B92">
      <w:pPr>
        <w:tabs>
          <w:tab w:val="left" w:pos="0"/>
        </w:tabs>
        <w:spacing w:beforeLines="0" w:afterLines="0" w:line="360" w:lineRule="auto"/>
        <w:ind w:firstLine="420" w:firstLineChars="200"/>
        <w:rPr>
          <w:rFonts w:hint="eastAsia" w:ascii="Calibri" w:hAnsi="Calibri" w:eastAsia="宋体" w:cs="Times New Roman"/>
          <w:sz w:val="21"/>
          <w:szCs w:val="21"/>
          <w:lang w:val="en-US" w:eastAsia="en-US"/>
        </w:rPr>
      </w:pPr>
      <w:r>
        <w:rPr>
          <w:rFonts w:hint="eastAsia" w:ascii="Calibri" w:hAnsi="Calibri" w:eastAsia="宋体" w:cs="Times New Roman"/>
          <w:sz w:val="21"/>
          <w:szCs w:val="21"/>
          <w:lang w:val="en-US" w:eastAsia="en-US"/>
        </w:rPr>
        <w:t>本招标项目</w:t>
      </w:r>
      <w:r>
        <w:rPr>
          <w:rFonts w:hint="eastAsia" w:ascii="Calibri" w:hAnsi="Calibri" w:eastAsia="宋体" w:cs="Times New Roman"/>
          <w:sz w:val="21"/>
          <w:szCs w:val="21"/>
          <w:lang w:val="en-US" w:eastAsia="zh-CN"/>
        </w:rPr>
        <w:t>国道扎公线（</w:t>
      </w:r>
      <w:r>
        <w:rPr>
          <w:rFonts w:hint="eastAsia" w:ascii="Calibri" w:hAnsi="Calibri" w:eastAsia="宋体" w:cs="Times New Roman"/>
          <w:sz w:val="21"/>
          <w:szCs w:val="21"/>
          <w:lang w:val="en-US" w:eastAsia="zh-CN"/>
        </w:rPr>
        <w:t>G608）镇赉至到保段改扩建工程</w:t>
      </w:r>
      <w:r>
        <w:rPr>
          <w:rFonts w:hint="eastAsia" w:ascii="Calibri" w:hAnsi="Calibri" w:eastAsia="宋体" w:cs="Times New Roman"/>
          <w:sz w:val="21"/>
          <w:szCs w:val="21"/>
          <w:lang w:val="en-US" w:eastAsia="en-US"/>
        </w:rPr>
        <w:t>已由</w:t>
      </w:r>
      <w:r>
        <w:rPr>
          <w:rFonts w:hint="eastAsia" w:ascii="Calibri" w:hAnsi="Calibri" w:eastAsia="宋体" w:cs="Times New Roman"/>
          <w:sz w:val="21"/>
          <w:szCs w:val="21"/>
          <w:u w:val="single"/>
          <w:lang w:val="en-US" w:eastAsia="zh-CN"/>
        </w:rPr>
        <w:t>吉林省发展和改革委员会</w:t>
      </w:r>
      <w:r>
        <w:rPr>
          <w:rFonts w:hint="eastAsia" w:ascii="Calibri" w:hAnsi="Calibri" w:eastAsia="宋体" w:cs="Times New Roman"/>
          <w:sz w:val="21"/>
          <w:szCs w:val="21"/>
          <w:lang w:val="en-US" w:eastAsia="en-US"/>
        </w:rPr>
        <w:t>以</w:t>
      </w:r>
      <w:r>
        <w:rPr>
          <w:rFonts w:hint="eastAsia" w:ascii="Calibri" w:hAnsi="Calibri" w:eastAsia="宋体" w:cs="Times New Roman"/>
          <w:sz w:val="21"/>
          <w:szCs w:val="21"/>
          <w:u w:val="single"/>
          <w:lang w:val="en-US" w:eastAsia="zh-CN"/>
        </w:rPr>
        <w:t>吉发改审批【2025】129号</w:t>
      </w:r>
      <w:r>
        <w:rPr>
          <w:rFonts w:hint="eastAsia" w:ascii="Calibri" w:hAnsi="Calibri" w:eastAsia="宋体" w:cs="Times New Roman"/>
          <w:sz w:val="21"/>
          <w:szCs w:val="21"/>
          <w:lang w:val="en-US" w:eastAsia="zh-CN"/>
        </w:rPr>
        <w:t>文</w:t>
      </w:r>
      <w:r>
        <w:rPr>
          <w:rFonts w:hint="eastAsia" w:ascii="Calibri" w:hAnsi="Calibri" w:eastAsia="宋体" w:cs="Times New Roman"/>
          <w:sz w:val="21"/>
          <w:szCs w:val="21"/>
          <w:lang w:val="en-US" w:eastAsia="en-US"/>
        </w:rPr>
        <w:t>批准建设。项目</w:t>
      </w:r>
      <w:r>
        <w:rPr>
          <w:rFonts w:hint="eastAsia" w:ascii="Calibri" w:hAnsi="Calibri" w:eastAsia="宋体" w:cs="Times New Roman"/>
          <w:sz w:val="21"/>
          <w:szCs w:val="21"/>
          <w:lang w:val="en-US" w:eastAsia="zh-CN"/>
        </w:rPr>
        <w:t>法人</w:t>
      </w:r>
      <w:r>
        <w:rPr>
          <w:rFonts w:hint="eastAsia" w:ascii="Calibri" w:hAnsi="Calibri" w:eastAsia="宋体" w:cs="Times New Roman"/>
          <w:sz w:val="21"/>
          <w:szCs w:val="21"/>
          <w:lang w:val="en-US" w:eastAsia="en-US"/>
        </w:rPr>
        <w:t>为</w:t>
      </w:r>
      <w:r>
        <w:rPr>
          <w:rFonts w:hint="eastAsia" w:ascii="Calibri" w:hAnsi="Calibri" w:eastAsia="宋体" w:cs="Times New Roman"/>
          <w:sz w:val="21"/>
          <w:szCs w:val="21"/>
          <w:u w:val="single"/>
          <w:lang w:val="en-US" w:eastAsia="zh-CN"/>
        </w:rPr>
        <w:t>镇赉县博源路桥建设管理有限公司</w:t>
      </w:r>
      <w:r>
        <w:rPr>
          <w:rFonts w:hint="eastAsia" w:ascii="Calibri" w:hAnsi="Calibri" w:eastAsia="宋体" w:cs="Times New Roman"/>
          <w:sz w:val="21"/>
          <w:szCs w:val="21"/>
          <w:lang w:val="en-US" w:eastAsia="en-US"/>
        </w:rPr>
        <w:t>，建设</w:t>
      </w:r>
      <w:r>
        <w:rPr>
          <w:rFonts w:hint="eastAsia" w:ascii="Calibri" w:hAnsi="Calibri" w:eastAsia="宋体" w:cs="Times New Roman"/>
          <w:sz w:val="21"/>
          <w:szCs w:val="21"/>
          <w:lang w:val="en-US" w:eastAsia="zh-CN"/>
        </w:rPr>
        <w:t>资金来源交通运输领域重点项目资金和地方财政</w:t>
      </w:r>
      <w:r>
        <w:rPr>
          <w:rFonts w:hint="eastAsia" w:ascii="Calibri" w:hAnsi="Calibri" w:eastAsia="宋体" w:cs="Times New Roman"/>
          <w:sz w:val="21"/>
          <w:szCs w:val="21"/>
          <w:lang w:val="en-US" w:eastAsia="en-US"/>
        </w:rPr>
        <w:t>，资金已落实。项目已具备招标条件，现对该项目的勘察设计进行公开招标。</w:t>
      </w:r>
    </w:p>
    <w:p w14:paraId="612452D6">
      <w:pPr>
        <w:tabs>
          <w:tab w:val="left" w:pos="0"/>
        </w:tabs>
        <w:spacing w:beforeLines="0" w:afterLines="0" w:line="360" w:lineRule="auto"/>
        <w:rPr>
          <w:rFonts w:hint="eastAsia" w:ascii="黑体" w:hAnsi="Times New Roman" w:eastAsia="黑体" w:cs="Times New Roman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Times New Roman" w:eastAsia="黑体" w:cs="Times New Roman"/>
          <w:b w:val="0"/>
          <w:bCs w:val="0"/>
          <w:kern w:val="2"/>
          <w:sz w:val="28"/>
          <w:szCs w:val="28"/>
          <w:lang w:val="en-US" w:eastAsia="zh-CN" w:bidi="ar-SA"/>
        </w:rPr>
        <w:t>2.项目概况与招标范围</w:t>
      </w:r>
    </w:p>
    <w:p w14:paraId="0E259DDE">
      <w:pPr>
        <w:tabs>
          <w:tab w:val="left" w:pos="0"/>
        </w:tabs>
        <w:spacing w:beforeLines="0" w:afterLines="0" w:line="360" w:lineRule="auto"/>
        <w:ind w:firstLine="420" w:firstLineChars="200"/>
        <w:rPr>
          <w:rFonts w:hint="eastAsia" w:ascii="宋体" w:hAnsi="宋体" w:eastAsia="宋体" w:cs="Times New Roman"/>
          <w:color w:val="000000"/>
          <w:sz w:val="21"/>
          <w:szCs w:val="21"/>
          <w:lang w:val="en-US" w:eastAsia="en-US"/>
        </w:rPr>
      </w:pPr>
      <w:r>
        <w:rPr>
          <w:rFonts w:hint="eastAsia" w:ascii="Calibri" w:hAnsi="Calibri" w:eastAsia="宋体" w:cs="Times New Roman"/>
          <w:sz w:val="21"/>
          <w:szCs w:val="21"/>
          <w:lang w:val="en-US" w:eastAsia="zh-CN"/>
        </w:rPr>
        <w:t>2.1 建设地点：本项目路线起点位于镇</w:t>
      </w:r>
      <w:r>
        <w:rPr>
          <w:rFonts w:hint="eastAsia" w:ascii="宋体" w:hAnsi="宋体" w:eastAsia="宋体" w:cs="Times New Roman"/>
          <w:color w:val="000000"/>
          <w:sz w:val="21"/>
          <w:szCs w:val="21"/>
          <w:lang w:val="en-US" w:eastAsia="zh-CN"/>
        </w:rPr>
        <w:t>赉县太平山村北侧，向南沿既有旧路改扩建，经后架其营子村、架其营子村、二井子村、八格歹村、麻子村、终点位于到保农场二站东侧镇赉洮北县界，与既有旧路顺接。</w:t>
      </w:r>
    </w:p>
    <w:p w14:paraId="50C49C75">
      <w:pPr>
        <w:tabs>
          <w:tab w:val="left" w:pos="0"/>
        </w:tabs>
        <w:spacing w:beforeLines="0" w:afterLines="0" w:line="360" w:lineRule="auto"/>
        <w:ind w:firstLine="420" w:firstLineChars="200"/>
        <w:rPr>
          <w:rFonts w:hint="eastAsia" w:ascii="宋体" w:hAnsi="宋体" w:eastAsia="宋体" w:cs="Times New Roman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Times New Roman"/>
          <w:color w:val="000000"/>
          <w:sz w:val="21"/>
          <w:szCs w:val="21"/>
        </w:rPr>
        <w:t>2.2 建设规模：</w:t>
      </w:r>
      <w:r>
        <w:rPr>
          <w:rFonts w:hint="eastAsia" w:ascii="宋体" w:hAnsi="宋体" w:eastAsia="宋体" w:cs="Times New Roman"/>
          <w:color w:val="000000"/>
          <w:sz w:val="21"/>
          <w:szCs w:val="21"/>
          <w:lang w:val="en-US" w:eastAsia="zh-CN"/>
        </w:rPr>
        <w:t>建设总里程为20.98公里，按照双向四车道一级公路标准建设，设计速度80公里/小时，路基宽度20.5米。全线设置小桥30米/1座，涵洞7道，平面交叉43处。桥涵设计荷载采用公路-I级。</w:t>
      </w:r>
    </w:p>
    <w:p w14:paraId="71C1E64F">
      <w:pPr>
        <w:tabs>
          <w:tab w:val="left" w:pos="0"/>
        </w:tabs>
        <w:spacing w:beforeLines="0" w:afterLines="0" w:line="360" w:lineRule="auto"/>
        <w:ind w:firstLine="420" w:firstLineChars="200"/>
        <w:rPr>
          <w:rFonts w:hint="eastAsia" w:ascii="宋体" w:hAnsi="宋体" w:eastAsia="宋体" w:cs="Times New Roman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Times New Roman"/>
          <w:color w:val="000000"/>
          <w:sz w:val="21"/>
          <w:szCs w:val="21"/>
          <w:lang w:val="en-US" w:eastAsia="zh-CN"/>
        </w:rPr>
        <w:t>2.3 设计服务期限：签订书面合同协议书后30日历天内完成两阶段勘察设计及预算成果。</w:t>
      </w:r>
    </w:p>
    <w:p w14:paraId="0D905BE7">
      <w:pPr>
        <w:tabs>
          <w:tab w:val="left" w:pos="0"/>
        </w:tabs>
        <w:spacing w:beforeLines="0" w:afterLines="0" w:line="360" w:lineRule="auto"/>
        <w:ind w:firstLine="420" w:firstLineChars="200"/>
        <w:rPr>
          <w:rFonts w:hint="eastAsia" w:ascii="宋体" w:hAnsi="宋体" w:eastAsia="宋体" w:cs="Times New Roman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Times New Roman"/>
          <w:color w:val="000000"/>
          <w:sz w:val="21"/>
          <w:szCs w:val="21"/>
          <w:lang w:val="en-US" w:eastAsia="zh-CN"/>
        </w:rPr>
        <w:t>2.4 招标范围：初步勘察设计及概算、施工图勘察设计及预算、后续服务等工作。</w:t>
      </w:r>
    </w:p>
    <w:p w14:paraId="6C69A82D">
      <w:pPr>
        <w:tabs>
          <w:tab w:val="left" w:pos="0"/>
        </w:tabs>
        <w:spacing w:beforeLines="0" w:afterLines="0" w:line="360" w:lineRule="auto"/>
        <w:ind w:firstLine="420" w:firstLineChars="200"/>
        <w:rPr>
          <w:rFonts w:hint="eastAsia" w:ascii="宋体" w:hAnsi="宋体" w:eastAsia="宋体" w:cs="Times New Roman"/>
          <w:color w:val="000000"/>
          <w:sz w:val="21"/>
          <w:szCs w:val="21"/>
        </w:rPr>
      </w:pPr>
      <w:r>
        <w:rPr>
          <w:rFonts w:hint="eastAsia" w:ascii="宋体" w:hAnsi="宋体" w:eastAsia="宋体" w:cs="Times New Roman"/>
          <w:color w:val="000000"/>
          <w:sz w:val="21"/>
          <w:szCs w:val="21"/>
        </w:rPr>
        <w:t xml:space="preserve">2.5 标段划分：本项目招标划分为 1 个标段，即 SJ01 标段。 </w:t>
      </w:r>
    </w:p>
    <w:p w14:paraId="27101B2D">
      <w:pPr>
        <w:tabs>
          <w:tab w:val="left" w:pos="0"/>
        </w:tabs>
        <w:spacing w:beforeLines="0" w:afterLines="0" w:line="360" w:lineRule="auto"/>
        <w:rPr>
          <w:rFonts w:hint="eastAsia" w:ascii="黑体" w:hAnsi="Times New Roman" w:eastAsia="黑体" w:cs="Times New Roman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Times New Roman" w:eastAsia="黑体" w:cs="Times New Roman"/>
          <w:b w:val="0"/>
          <w:bCs w:val="0"/>
          <w:kern w:val="2"/>
          <w:sz w:val="28"/>
          <w:szCs w:val="28"/>
          <w:lang w:val="en-US" w:eastAsia="zh-CN" w:bidi="ar-SA"/>
        </w:rPr>
        <w:t>3.投标人资格要求</w:t>
      </w:r>
    </w:p>
    <w:p w14:paraId="6A8BB7DA">
      <w:pPr>
        <w:tabs>
          <w:tab w:val="left" w:pos="0"/>
        </w:tabs>
        <w:spacing w:beforeLines="0" w:afterLines="0" w:line="360" w:lineRule="auto"/>
        <w:ind w:firstLine="420" w:firstLineChars="200"/>
        <w:rPr>
          <w:rFonts w:hint="eastAsia" w:ascii="宋体" w:hAnsi="宋体" w:eastAsia="宋体" w:cs="Times New Roman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Times New Roman"/>
          <w:color w:val="000000"/>
          <w:sz w:val="21"/>
          <w:szCs w:val="21"/>
          <w:lang w:val="en-US" w:eastAsia="zh-CN"/>
        </w:rPr>
        <w:t>3.1本次招标要求投标人须同时满足以下资质和业绩的最低要求，并在人员等方面具有相应的设计能力：</w:t>
      </w:r>
    </w:p>
    <w:p w14:paraId="36BEFC40">
      <w:pPr>
        <w:tabs>
          <w:tab w:val="left" w:pos="0"/>
        </w:tabs>
        <w:spacing w:beforeLines="0" w:afterLines="0" w:line="360" w:lineRule="auto"/>
        <w:ind w:firstLine="420" w:firstLineChars="200"/>
        <w:rPr>
          <w:rFonts w:hint="eastAsia" w:ascii="宋体" w:hAnsi="宋体" w:eastAsia="宋体" w:cs="Times New Roman"/>
          <w:color w:val="000000"/>
          <w:sz w:val="21"/>
          <w:szCs w:val="21"/>
          <w:lang w:val="en-US" w:eastAsia="en-US"/>
        </w:rPr>
      </w:pPr>
      <w:r>
        <w:rPr>
          <w:rFonts w:hint="eastAsia" w:ascii="宋体" w:hAnsi="宋体" w:eastAsia="宋体" w:cs="Times New Roman"/>
          <w:color w:val="000000"/>
          <w:sz w:val="21"/>
          <w:szCs w:val="21"/>
          <w:lang w:val="en-US" w:eastAsia="zh-CN"/>
        </w:rPr>
        <w:t>本次招标要求投标人须具备公路行业（公路）专业甲级（含）以上设计资质，并具备</w:t>
      </w:r>
      <w:r>
        <w:rPr>
          <w:rFonts w:hint="eastAsia" w:ascii="宋体" w:hAnsi="宋体" w:eastAsia="宋体" w:cs="Times New Roman"/>
          <w:color w:val="000000"/>
          <w:sz w:val="21"/>
          <w:szCs w:val="21"/>
          <w:lang w:val="en-US" w:eastAsia="en-US"/>
        </w:rPr>
        <w:t>建设主管部门颁发的工程勘察专业类岩土工程（分项）专业资质岩土工程勘察甲级</w:t>
      </w:r>
      <w:bookmarkStart w:id="9" w:name="_GoBack"/>
      <w:bookmarkEnd w:id="9"/>
      <w:r>
        <w:rPr>
          <w:rFonts w:hint="eastAsia" w:ascii="宋体" w:hAnsi="宋体" w:eastAsia="宋体" w:cs="Times New Roman"/>
          <w:color w:val="000000"/>
          <w:sz w:val="21"/>
          <w:szCs w:val="21"/>
          <w:lang w:val="en-US" w:eastAsia="zh-CN"/>
        </w:rPr>
        <w:t>或工程勘察专业类（岩土工程（勘察））甲级</w:t>
      </w:r>
      <w:r>
        <w:rPr>
          <w:rFonts w:hint="eastAsia" w:ascii="宋体" w:hAnsi="宋体" w:eastAsia="宋体" w:cs="Times New Roman"/>
          <w:color w:val="000000"/>
          <w:sz w:val="21"/>
          <w:szCs w:val="21"/>
          <w:lang w:val="en-US" w:eastAsia="en-US"/>
        </w:rPr>
        <w:t>，并在人员等方面具有相应的勘察设计能力。</w:t>
      </w:r>
    </w:p>
    <w:p w14:paraId="0379A499">
      <w:pPr>
        <w:tabs>
          <w:tab w:val="left" w:pos="0"/>
        </w:tabs>
        <w:spacing w:beforeLines="0" w:afterLines="0" w:line="360" w:lineRule="auto"/>
        <w:ind w:firstLine="420" w:firstLineChars="200"/>
        <w:rPr>
          <w:rFonts w:hint="eastAsia" w:ascii="宋体" w:hAnsi="宋体" w:eastAsia="宋体" w:cs="Times New Roman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Times New Roman"/>
          <w:color w:val="000000"/>
          <w:sz w:val="21"/>
          <w:szCs w:val="21"/>
          <w:lang w:val="en-US" w:eastAsia="zh-CN"/>
        </w:rPr>
        <w:t>具有公路工程设计乙级（含）以上资质企业的投标人应进入交通运输部“全国公路建设市场信用信息管理系统（http://glxy.mot.gov.cn）”中的公路工程设计资质企业名录，且投标人名称和资质与该名录中的相应企业名称和资质完全一致。</w:t>
      </w:r>
    </w:p>
    <w:p w14:paraId="607F76F7">
      <w:pPr>
        <w:tabs>
          <w:tab w:val="left" w:pos="0"/>
        </w:tabs>
        <w:spacing w:beforeLines="0" w:afterLines="0" w:line="360" w:lineRule="auto"/>
        <w:ind w:firstLine="420" w:firstLineChars="200"/>
        <w:rPr>
          <w:rFonts w:hint="eastAsia" w:ascii="宋体" w:hAnsi="宋体" w:eastAsia="宋体" w:cs="Times New Roman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Times New Roman"/>
          <w:color w:val="000000"/>
          <w:sz w:val="21"/>
          <w:szCs w:val="21"/>
          <w:lang w:val="en-US" w:eastAsia="zh-CN"/>
        </w:rPr>
        <w:t>3.2业绩要求：投标人近 5 年内（指 2020 年 1 月 1 日至投标截止时间）累计完成过不少于 20公里的一级公路施工图设计业绩。</w:t>
      </w:r>
    </w:p>
    <w:p w14:paraId="1588DA5C">
      <w:pPr>
        <w:tabs>
          <w:tab w:val="left" w:pos="0"/>
        </w:tabs>
        <w:spacing w:beforeLines="0" w:afterLines="0" w:line="360" w:lineRule="auto"/>
        <w:ind w:firstLine="420" w:firstLineChars="200"/>
        <w:rPr>
          <w:rFonts w:hint="eastAsia" w:ascii="宋体" w:hAnsi="宋体" w:eastAsia="宋体" w:cs="Times New Roman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Times New Roman"/>
          <w:color w:val="000000"/>
          <w:sz w:val="21"/>
          <w:szCs w:val="21"/>
          <w:lang w:val="en-US" w:eastAsia="zh-CN"/>
        </w:rPr>
        <w:t>3.3 本次招标不接受联合体投标。</w:t>
      </w:r>
    </w:p>
    <w:p w14:paraId="364C044A">
      <w:pPr>
        <w:tabs>
          <w:tab w:val="left" w:pos="0"/>
        </w:tabs>
        <w:spacing w:beforeLines="0" w:afterLines="0" w:line="360" w:lineRule="auto"/>
        <w:ind w:firstLine="420" w:firstLineChars="200"/>
        <w:rPr>
          <w:rFonts w:hint="eastAsia" w:ascii="宋体" w:hAnsi="宋体" w:eastAsia="宋体" w:cs="Times New Roman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Times New Roman"/>
          <w:color w:val="000000"/>
          <w:sz w:val="21"/>
          <w:szCs w:val="21"/>
          <w:lang w:val="en-US" w:eastAsia="zh-CN"/>
        </w:rPr>
        <w:t>3.4 与招标人存在利害关系可能影响招标公正性的单位不得参加投标；单位负责人为同一人或者存在控股、管理关系的不同单位，不得参加同一标段投标，否则相关投标均无效。</w:t>
      </w:r>
    </w:p>
    <w:p w14:paraId="66272EB9">
      <w:pPr>
        <w:tabs>
          <w:tab w:val="left" w:pos="0"/>
        </w:tabs>
        <w:spacing w:beforeLines="0" w:afterLines="0" w:line="360" w:lineRule="auto"/>
        <w:ind w:firstLine="420" w:firstLineChars="200"/>
        <w:rPr>
          <w:rFonts w:hint="eastAsia" w:ascii="宋体" w:hAnsi="宋体" w:eastAsia="宋体" w:cs="Times New Roman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Times New Roman"/>
          <w:color w:val="000000"/>
          <w:sz w:val="21"/>
          <w:szCs w:val="21"/>
          <w:lang w:val="en-US" w:eastAsia="zh-CN"/>
        </w:rPr>
        <w:t>3.5 在“信用中国”网站（http://www.creditchina.gov.cn/）中被列入失信被执行人名单的投标人，不得参加投标。</w:t>
      </w:r>
    </w:p>
    <w:p w14:paraId="6F5349D2"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br w:type="page"/>
      </w:r>
    </w:p>
    <w:p w14:paraId="0EFAB44A">
      <w:pPr>
        <w:spacing w:before="91" w:line="212" w:lineRule="auto"/>
        <w:ind w:left="2517"/>
        <w:outlineLvl w:val="1"/>
        <w:rPr>
          <w:rFonts w:hint="eastAsia" w:ascii="宋体" w:hAnsi="宋体" w:eastAsia="宋体" w:cs="宋体"/>
          <w:spacing w:val="-5"/>
          <w:sz w:val="21"/>
          <w:szCs w:val="21"/>
        </w:rPr>
      </w:pPr>
      <w:bookmarkStart w:id="0" w:name="bookmark8"/>
      <w:bookmarkEnd w:id="0"/>
      <w:bookmarkStart w:id="1" w:name="bookmark7"/>
      <w:bookmarkEnd w:id="1"/>
    </w:p>
    <w:p w14:paraId="6562185B">
      <w:pPr>
        <w:pStyle w:val="2"/>
        <w:keepNext w:val="0"/>
        <w:keepLines w:val="0"/>
        <w:spacing w:before="0" w:after="0" w:line="360" w:lineRule="auto"/>
        <w:jc w:val="left"/>
        <w:rPr>
          <w:rFonts w:ascii="黑体" w:eastAsia="黑体"/>
          <w:b w:val="0"/>
          <w:sz w:val="28"/>
          <w:szCs w:val="28"/>
        </w:rPr>
      </w:pPr>
      <w:r>
        <w:rPr>
          <w:rFonts w:hint="eastAsia" w:ascii="黑体" w:eastAsia="黑体"/>
          <w:b w:val="0"/>
          <w:sz w:val="28"/>
          <w:szCs w:val="28"/>
        </w:rPr>
        <w:t>4、资格审查条件</w:t>
      </w:r>
    </w:p>
    <w:p w14:paraId="16A0275B">
      <w:pPr>
        <w:tabs>
          <w:tab w:val="left" w:pos="0"/>
        </w:tabs>
        <w:spacing w:beforeLines="0" w:afterLines="0" w:line="360" w:lineRule="auto"/>
        <w:jc w:val="center"/>
        <w:rPr>
          <w:rFonts w:hint="eastAsia" w:ascii="黑体" w:hAnsi="Times New Roman" w:eastAsia="黑体" w:cs="Times New Roman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Times New Roman" w:eastAsia="黑体" w:cs="Times New Roman"/>
          <w:b w:val="0"/>
          <w:bCs w:val="0"/>
          <w:kern w:val="2"/>
          <w:sz w:val="28"/>
          <w:szCs w:val="28"/>
          <w:lang w:val="en-US" w:eastAsia="zh-CN" w:bidi="ar-SA"/>
        </w:rPr>
        <w:t>附录 1 资格审查条件（资格最低要求）</w:t>
      </w:r>
    </w:p>
    <w:tbl>
      <w:tblPr>
        <w:tblStyle w:val="10"/>
        <w:tblW w:w="9718" w:type="dxa"/>
        <w:tblInd w:w="12" w:type="dxa"/>
        <w:tblBorders>
          <w:top w:val="single" w:color="000000" w:sz="10" w:space="0"/>
          <w:left w:val="single" w:color="000000" w:sz="10" w:space="0"/>
          <w:bottom w:val="single" w:color="000000" w:sz="10" w:space="0"/>
          <w:right w:val="single" w:color="000000" w:sz="10" w:space="0"/>
          <w:insideH w:val="single" w:color="000000" w:sz="10" w:space="0"/>
          <w:insideV w:val="single" w:color="000000" w:sz="1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18"/>
      </w:tblGrid>
      <w:tr w14:paraId="477BC122"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9718" w:type="dxa"/>
            <w:tcBorders>
              <w:bottom w:val="single" w:color="000000" w:sz="2" w:space="0"/>
            </w:tcBorders>
            <w:vAlign w:val="top"/>
          </w:tcPr>
          <w:p w14:paraId="659D3D4E">
            <w:pPr>
              <w:pStyle w:val="9"/>
              <w:spacing w:before="158" w:line="228" w:lineRule="auto"/>
              <w:ind w:left="4444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5"/>
                <w:sz w:val="21"/>
                <w:szCs w:val="21"/>
              </w:rPr>
              <w:t>资格要求</w:t>
            </w:r>
          </w:p>
        </w:tc>
      </w:tr>
      <w:tr w14:paraId="4563D761"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718" w:type="dxa"/>
            <w:tcBorders>
              <w:top w:val="single" w:color="000000" w:sz="2" w:space="0"/>
            </w:tcBorders>
            <w:vAlign w:val="top"/>
          </w:tcPr>
          <w:p w14:paraId="5C200C4F">
            <w:pPr>
              <w:tabs>
                <w:tab w:val="left" w:pos="0"/>
              </w:tabs>
              <w:spacing w:beforeLines="0" w:afterLines="0" w:line="360" w:lineRule="auto"/>
              <w:ind w:firstLine="420" w:firstLineChars="200"/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en-US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  <w:t>本次招标要求投标人须具备公路行业（公路）专业甲级（含）以上设计资质，并具备</w:t>
            </w: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en-US"/>
              </w:rPr>
              <w:t>建设主管部门颁发的工程勘察专业类岩土工程（分项）专业资质岩土工程勘察甲级</w:t>
            </w: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  <w:t>或工程勘察专业类（岩土工程（勘察））甲级</w:t>
            </w: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en-US"/>
              </w:rPr>
              <w:t>，并在人员等方面具有相应的勘察设计能力。</w:t>
            </w:r>
          </w:p>
          <w:p w14:paraId="6EFCE881">
            <w:pPr>
              <w:tabs>
                <w:tab w:val="left" w:pos="0"/>
              </w:tabs>
              <w:spacing w:beforeLines="0" w:afterLines="0"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  <w:t>投标人应进入交通运输部“全国公路建设市场信用信息管理系统（http://glxy.mot.gov.cn）”中的公路工程设计资质企业名录，且投标人名称和资质与该名录中的相应企业名称和资质完全一致。</w:t>
            </w:r>
          </w:p>
        </w:tc>
      </w:tr>
    </w:tbl>
    <w:p w14:paraId="2D9E463A">
      <w:pPr>
        <w:tabs>
          <w:tab w:val="left" w:pos="0"/>
        </w:tabs>
        <w:spacing w:beforeLines="0" w:afterLines="0" w:line="360" w:lineRule="auto"/>
        <w:jc w:val="center"/>
        <w:rPr>
          <w:rFonts w:hint="eastAsia" w:ascii="黑体" w:hAnsi="Times New Roman" w:eastAsia="黑体" w:cs="Times New Roman"/>
          <w:b w:val="0"/>
          <w:bCs w:val="0"/>
          <w:kern w:val="2"/>
          <w:sz w:val="28"/>
          <w:szCs w:val="28"/>
          <w:lang w:val="en-US" w:eastAsia="zh-CN" w:bidi="ar-SA"/>
        </w:rPr>
      </w:pPr>
      <w:bookmarkStart w:id="2" w:name="bookmark9"/>
      <w:bookmarkEnd w:id="2"/>
      <w:bookmarkStart w:id="3" w:name="bookmark10"/>
      <w:bookmarkEnd w:id="3"/>
    </w:p>
    <w:p w14:paraId="3EAB9005">
      <w:pPr>
        <w:tabs>
          <w:tab w:val="left" w:pos="0"/>
        </w:tabs>
        <w:spacing w:beforeLines="0" w:afterLines="0" w:line="360" w:lineRule="auto"/>
        <w:jc w:val="center"/>
        <w:rPr>
          <w:rFonts w:hint="eastAsia" w:ascii="黑体" w:hAnsi="Times New Roman" w:eastAsia="黑体" w:cs="Times New Roman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Times New Roman" w:eastAsia="黑体" w:cs="Times New Roman"/>
          <w:b w:val="0"/>
          <w:bCs w:val="0"/>
          <w:kern w:val="2"/>
          <w:sz w:val="28"/>
          <w:szCs w:val="28"/>
          <w:lang w:val="en-US" w:eastAsia="zh-CN" w:bidi="ar-SA"/>
        </w:rPr>
        <w:t>附录 2 资格审查条件（业绩最低要求）</w:t>
      </w:r>
    </w:p>
    <w:tbl>
      <w:tblPr>
        <w:tblStyle w:val="10"/>
        <w:tblW w:w="9619" w:type="dxa"/>
        <w:tblInd w:w="62" w:type="dxa"/>
        <w:tblBorders>
          <w:top w:val="single" w:color="000000" w:sz="10" w:space="0"/>
          <w:left w:val="single" w:color="000000" w:sz="10" w:space="0"/>
          <w:bottom w:val="single" w:color="000000" w:sz="10" w:space="0"/>
          <w:right w:val="single" w:color="000000" w:sz="10" w:space="0"/>
          <w:insideH w:val="single" w:color="000000" w:sz="10" w:space="0"/>
          <w:insideV w:val="single" w:color="000000" w:sz="1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19"/>
      </w:tblGrid>
      <w:tr w14:paraId="69311A6A"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9619" w:type="dxa"/>
            <w:tcBorders>
              <w:bottom w:val="single" w:color="000000" w:sz="2" w:space="0"/>
            </w:tcBorders>
            <w:vAlign w:val="top"/>
          </w:tcPr>
          <w:p w14:paraId="5A585FCC">
            <w:pPr>
              <w:tabs>
                <w:tab w:val="left" w:pos="0"/>
              </w:tabs>
              <w:spacing w:beforeLines="0" w:afterLines="0" w:line="360" w:lineRule="auto"/>
              <w:ind w:firstLine="420" w:firstLineChars="200"/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  <w:t>业绩要求</w:t>
            </w:r>
          </w:p>
        </w:tc>
      </w:tr>
      <w:tr w14:paraId="35877C86"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619" w:type="dxa"/>
            <w:tcBorders>
              <w:top w:val="single" w:color="000000" w:sz="2" w:space="0"/>
            </w:tcBorders>
            <w:vAlign w:val="top"/>
          </w:tcPr>
          <w:p w14:paraId="555B66D4">
            <w:pPr>
              <w:tabs>
                <w:tab w:val="left" w:pos="0"/>
              </w:tabs>
              <w:spacing w:beforeLines="0" w:afterLines="0" w:line="360" w:lineRule="auto"/>
              <w:ind w:firstLine="420" w:firstLineChars="200"/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  <w:t>近 5 年内（指 2020 年 1 月 1 日至投标截止时间）累计完成过不少于 20公里的一级公路施工图设计业绩。</w:t>
            </w:r>
          </w:p>
        </w:tc>
      </w:tr>
    </w:tbl>
    <w:p w14:paraId="6C4CCDFC">
      <w:pPr>
        <w:tabs>
          <w:tab w:val="left" w:pos="0"/>
        </w:tabs>
        <w:spacing w:beforeLines="0" w:afterLines="0" w:line="360" w:lineRule="auto"/>
        <w:jc w:val="center"/>
        <w:rPr>
          <w:rFonts w:hint="eastAsia" w:ascii="黑体" w:hAnsi="Times New Roman" w:eastAsia="黑体" w:cs="Times New Roman"/>
          <w:b w:val="0"/>
          <w:bCs w:val="0"/>
          <w:kern w:val="2"/>
          <w:sz w:val="28"/>
          <w:szCs w:val="28"/>
          <w:lang w:val="en-US" w:eastAsia="zh-CN" w:bidi="ar-SA"/>
        </w:rPr>
      </w:pPr>
      <w:bookmarkStart w:id="4" w:name="bookmark11"/>
      <w:bookmarkEnd w:id="4"/>
      <w:bookmarkStart w:id="5" w:name="bookmark12"/>
      <w:bookmarkEnd w:id="5"/>
    </w:p>
    <w:p w14:paraId="1C4C04D7">
      <w:pPr>
        <w:tabs>
          <w:tab w:val="left" w:pos="0"/>
        </w:tabs>
        <w:spacing w:beforeLines="0" w:afterLines="0" w:line="360" w:lineRule="auto"/>
        <w:jc w:val="center"/>
        <w:rPr>
          <w:rFonts w:hint="eastAsia" w:ascii="黑体" w:hAnsi="Times New Roman" w:eastAsia="黑体" w:cs="Times New Roman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Times New Roman" w:eastAsia="黑体" w:cs="Times New Roman"/>
          <w:b w:val="0"/>
          <w:bCs w:val="0"/>
          <w:kern w:val="2"/>
          <w:sz w:val="28"/>
          <w:szCs w:val="28"/>
          <w:lang w:val="en-US" w:eastAsia="zh-CN" w:bidi="ar-SA"/>
        </w:rPr>
        <w:t>附录 3 资格审查条件（信誉最低要求）</w:t>
      </w:r>
    </w:p>
    <w:tbl>
      <w:tblPr>
        <w:tblStyle w:val="10"/>
        <w:tblW w:w="9703" w:type="dxa"/>
        <w:tblInd w:w="20" w:type="dxa"/>
        <w:tblBorders>
          <w:top w:val="single" w:color="000000" w:sz="10" w:space="0"/>
          <w:left w:val="single" w:color="000000" w:sz="10" w:space="0"/>
          <w:bottom w:val="single" w:color="000000" w:sz="10" w:space="0"/>
          <w:right w:val="single" w:color="000000" w:sz="10" w:space="0"/>
          <w:insideH w:val="single" w:color="000000" w:sz="10" w:space="0"/>
          <w:insideV w:val="single" w:color="000000" w:sz="1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03"/>
      </w:tblGrid>
      <w:tr w14:paraId="44F00E7F"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</w:tblPrEx>
        <w:trPr>
          <w:trHeight w:val="527" w:hRule="atLeast"/>
        </w:trPr>
        <w:tc>
          <w:tcPr>
            <w:tcW w:w="9703" w:type="dxa"/>
            <w:tcBorders>
              <w:bottom w:val="single" w:color="000000" w:sz="2" w:space="0"/>
            </w:tcBorders>
            <w:vAlign w:val="top"/>
          </w:tcPr>
          <w:p w14:paraId="1AC21D07">
            <w:pPr>
              <w:pStyle w:val="9"/>
              <w:spacing w:before="159" w:line="227" w:lineRule="auto"/>
              <w:ind w:left="4427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  <w:t>信誉要求</w:t>
            </w:r>
          </w:p>
        </w:tc>
      </w:tr>
      <w:tr w14:paraId="720810F7"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9" w:hRule="atLeast"/>
        </w:trPr>
        <w:tc>
          <w:tcPr>
            <w:tcW w:w="9703" w:type="dxa"/>
            <w:tcBorders>
              <w:top w:val="single" w:color="000000" w:sz="2" w:space="0"/>
            </w:tcBorders>
            <w:vAlign w:val="top"/>
          </w:tcPr>
          <w:p w14:paraId="756B3A91">
            <w:pPr>
              <w:pStyle w:val="9"/>
              <w:spacing w:before="224" w:line="228" w:lineRule="auto"/>
              <w:ind w:left="527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4"/>
                <w:sz w:val="21"/>
                <w:szCs w:val="21"/>
              </w:rPr>
              <w:t>投标人须知第</w:t>
            </w: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4"/>
                <w:sz w:val="21"/>
                <w:szCs w:val="21"/>
              </w:rPr>
              <w:t>1.4.4</w:t>
            </w:r>
            <w:r>
              <w:rPr>
                <w:rFonts w:hint="eastAsia" w:ascii="宋体" w:hAnsi="宋体" w:eastAsia="宋体" w:cs="宋体"/>
                <w:spacing w:val="-35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4"/>
                <w:sz w:val="21"/>
                <w:szCs w:val="21"/>
              </w:rPr>
              <w:t>项的规定</w:t>
            </w:r>
            <w:r>
              <w:rPr>
                <w:rFonts w:hint="eastAsia" w:ascii="宋体" w:hAnsi="宋体" w:eastAsia="宋体" w:cs="宋体"/>
                <w:spacing w:val="4"/>
                <w:sz w:val="21"/>
                <w:szCs w:val="21"/>
                <w:lang w:eastAsia="zh-CN"/>
              </w:rPr>
              <w:t>：</w:t>
            </w:r>
          </w:p>
          <w:p w14:paraId="05295FE4">
            <w:pPr>
              <w:pStyle w:val="9"/>
              <w:spacing w:before="72" w:line="282" w:lineRule="auto"/>
              <w:ind w:left="105" w:right="28" w:firstLine="421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1"/>
                <w:sz w:val="21"/>
                <w:szCs w:val="21"/>
              </w:rPr>
              <w:t>投标人或其法定代表人、拟委任的项目负责人</w:t>
            </w:r>
            <w:r>
              <w:rPr>
                <w:rFonts w:hint="eastAsia" w:ascii="宋体" w:hAnsi="宋体" w:eastAsia="宋体" w:cs="宋体"/>
                <w:spacing w:val="10"/>
                <w:sz w:val="21"/>
                <w:szCs w:val="21"/>
              </w:rPr>
              <w:t>在近三年无行贿犯罪行为（投标文件中需附投标人或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2"/>
                <w:sz w:val="21"/>
                <w:szCs w:val="21"/>
              </w:rPr>
              <w:t>其法定代表人、拟委任的项目负责人近三年</w:t>
            </w:r>
            <w:r>
              <w:rPr>
                <w:rFonts w:hint="eastAsia" w:ascii="宋体" w:hAnsi="宋体" w:eastAsia="宋体" w:cs="宋体"/>
                <w:b/>
                <w:bCs/>
                <w:spacing w:val="2"/>
                <w:sz w:val="21"/>
                <w:szCs w:val="21"/>
              </w:rPr>
              <w:t>均无行贿犯罪行为的书面承诺函原件电子</w:t>
            </w:r>
            <w:r>
              <w:rPr>
                <w:rFonts w:hint="eastAsia" w:ascii="宋体" w:hAnsi="宋体" w:eastAsia="宋体" w:cs="宋体"/>
                <w:b/>
                <w:bCs/>
                <w:spacing w:val="1"/>
                <w:sz w:val="21"/>
                <w:szCs w:val="21"/>
              </w:rPr>
              <w:t>扫描件（格式自拟）。</w:t>
            </w:r>
          </w:p>
        </w:tc>
      </w:tr>
    </w:tbl>
    <w:p w14:paraId="6EB1A971">
      <w:pPr>
        <w:tabs>
          <w:tab w:val="left" w:pos="0"/>
        </w:tabs>
        <w:spacing w:beforeLines="0" w:afterLines="0" w:line="360" w:lineRule="auto"/>
        <w:jc w:val="center"/>
        <w:rPr>
          <w:rFonts w:hint="eastAsia" w:ascii="黑体" w:hAnsi="Times New Roman" w:eastAsia="黑体" w:cs="Times New Roman"/>
          <w:b w:val="0"/>
          <w:bCs w:val="0"/>
          <w:kern w:val="2"/>
          <w:sz w:val="28"/>
          <w:szCs w:val="28"/>
          <w:lang w:val="en-US" w:eastAsia="zh-CN" w:bidi="ar-SA"/>
        </w:rPr>
      </w:pPr>
      <w:bookmarkStart w:id="6" w:name="bookmark13"/>
      <w:bookmarkEnd w:id="6"/>
      <w:bookmarkStart w:id="7" w:name="bookmark14"/>
      <w:bookmarkEnd w:id="7"/>
    </w:p>
    <w:p w14:paraId="3F262DA2">
      <w:pPr>
        <w:tabs>
          <w:tab w:val="left" w:pos="0"/>
        </w:tabs>
        <w:spacing w:beforeLines="0" w:afterLines="0" w:line="360" w:lineRule="auto"/>
        <w:jc w:val="center"/>
        <w:rPr>
          <w:rFonts w:hint="eastAsia" w:ascii="黑体" w:hAnsi="Times New Roman" w:eastAsia="黑体" w:cs="Times New Roman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Times New Roman" w:eastAsia="黑体" w:cs="Times New Roman"/>
          <w:b w:val="0"/>
          <w:bCs w:val="0"/>
          <w:kern w:val="2"/>
          <w:sz w:val="28"/>
          <w:szCs w:val="28"/>
          <w:lang w:val="en-US" w:eastAsia="zh-CN" w:bidi="ar-SA"/>
        </w:rPr>
        <w:t>附录 4 资格审查条件（项目负责人最低要求）</w:t>
      </w:r>
    </w:p>
    <w:tbl>
      <w:tblPr>
        <w:tblStyle w:val="10"/>
        <w:tblW w:w="9676" w:type="dxa"/>
        <w:tblInd w:w="3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3"/>
        <w:gridCol w:w="1555"/>
        <w:gridCol w:w="6388"/>
      </w:tblGrid>
      <w:tr w14:paraId="635483B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1733" w:type="dxa"/>
            <w:tcBorders>
              <w:top w:val="single" w:color="000000" w:sz="10" w:space="0"/>
              <w:left w:val="single" w:color="000000" w:sz="10" w:space="0"/>
            </w:tcBorders>
            <w:vAlign w:val="top"/>
          </w:tcPr>
          <w:p w14:paraId="3EC01342">
            <w:pPr>
              <w:pStyle w:val="9"/>
              <w:spacing w:before="189" w:line="229" w:lineRule="auto"/>
              <w:ind w:left="65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3"/>
                <w:sz w:val="21"/>
                <w:szCs w:val="21"/>
              </w:rPr>
              <w:t>人员</w:t>
            </w:r>
          </w:p>
        </w:tc>
        <w:tc>
          <w:tcPr>
            <w:tcW w:w="1555" w:type="dxa"/>
            <w:tcBorders>
              <w:top w:val="single" w:color="000000" w:sz="10" w:space="0"/>
            </w:tcBorders>
            <w:vAlign w:val="top"/>
          </w:tcPr>
          <w:p w14:paraId="237DEDD3">
            <w:pPr>
              <w:pStyle w:val="9"/>
              <w:spacing w:before="189" w:line="228" w:lineRule="auto"/>
              <w:ind w:left="252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5"/>
                <w:sz w:val="21"/>
                <w:szCs w:val="21"/>
              </w:rPr>
              <w:t>数量（人）</w:t>
            </w:r>
          </w:p>
        </w:tc>
        <w:tc>
          <w:tcPr>
            <w:tcW w:w="6388" w:type="dxa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 w14:paraId="7A9B6F86">
            <w:pPr>
              <w:pStyle w:val="9"/>
              <w:spacing w:before="206" w:line="228" w:lineRule="auto"/>
              <w:ind w:left="2784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5"/>
                <w:sz w:val="21"/>
                <w:szCs w:val="21"/>
              </w:rPr>
              <w:t>资格要求</w:t>
            </w:r>
          </w:p>
        </w:tc>
      </w:tr>
      <w:tr w14:paraId="4535794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2" w:hRule="atLeast"/>
        </w:trPr>
        <w:tc>
          <w:tcPr>
            <w:tcW w:w="1733" w:type="dxa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 w14:paraId="73D1B7FB">
            <w:pPr>
              <w:spacing w:line="265" w:lineRule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  <w:p w14:paraId="3DE86DA2">
            <w:pPr>
              <w:spacing w:line="265" w:lineRule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  <w:p w14:paraId="162237DB">
            <w:pPr>
              <w:pStyle w:val="9"/>
              <w:spacing w:before="65" w:line="228" w:lineRule="auto"/>
              <w:ind w:left="337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  <w:highlight w:val="none"/>
              </w:rPr>
              <w:t>项目负责人</w:t>
            </w:r>
          </w:p>
        </w:tc>
        <w:tc>
          <w:tcPr>
            <w:tcW w:w="1555" w:type="dxa"/>
            <w:tcBorders>
              <w:bottom w:val="single" w:color="000000" w:sz="10" w:space="0"/>
            </w:tcBorders>
            <w:vAlign w:val="top"/>
          </w:tcPr>
          <w:p w14:paraId="11FCC16F">
            <w:pPr>
              <w:spacing w:line="287" w:lineRule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  <w:p w14:paraId="5C116E1D">
            <w:pPr>
              <w:spacing w:line="287" w:lineRule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  <w:p w14:paraId="7699575C">
            <w:pPr>
              <w:spacing w:before="57" w:line="195" w:lineRule="auto"/>
              <w:ind w:left="741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6388" w:type="dxa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 w14:paraId="02337A46">
            <w:pPr>
              <w:pStyle w:val="9"/>
              <w:spacing w:before="305" w:line="236" w:lineRule="auto"/>
              <w:ind w:left="112" w:right="99" w:firstLine="6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8"/>
                <w:sz w:val="21"/>
                <w:szCs w:val="21"/>
                <w:highlight w:val="none"/>
              </w:rPr>
              <w:t>（1）投标人自有人员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fldChar w:fldCharType="begin"/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instrText xml:space="preserve"> HYPERLINK \l "bookmark85" </w:instrTex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fldChar w:fldCharType="separate"/>
            </w:r>
            <w:r>
              <w:rPr>
                <w:rFonts w:hint="eastAsia" w:ascii="宋体" w:hAnsi="宋体" w:eastAsia="宋体" w:cs="宋体"/>
                <w:spacing w:val="7"/>
                <w:position w:val="10"/>
                <w:sz w:val="21"/>
                <w:szCs w:val="21"/>
                <w:highlight w:val="none"/>
              </w:rPr>
              <w:t>①</w:t>
            </w:r>
            <w:r>
              <w:rPr>
                <w:rFonts w:hint="eastAsia" w:ascii="宋体" w:hAnsi="宋体" w:eastAsia="宋体" w:cs="宋体"/>
                <w:spacing w:val="7"/>
                <w:position w:val="10"/>
                <w:sz w:val="21"/>
                <w:szCs w:val="21"/>
                <w:highlight w:val="none"/>
              </w:rPr>
              <w:fldChar w:fldCharType="end"/>
            </w: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  <w:highlight w:val="none"/>
              </w:rPr>
              <w:t>;</w:t>
            </w:r>
          </w:p>
          <w:p w14:paraId="68765202">
            <w:pPr>
              <w:pStyle w:val="9"/>
              <w:spacing w:line="279" w:lineRule="exact"/>
              <w:ind w:left="119"/>
              <w:outlineLvl w:val="1"/>
              <w:rPr>
                <w:rFonts w:hint="eastAsia" w:ascii="宋体" w:hAnsi="宋体" w:eastAsia="宋体" w:cs="宋体"/>
                <w:b/>
                <w:bCs/>
                <w:spacing w:val="7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  <w:highlight w:val="none"/>
              </w:rPr>
              <w:t>（2）具有公路工程相关专业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fldChar w:fldCharType="begin"/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instrText xml:space="preserve"> HYPERLINK \l "bookmark86" </w:instrTex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fldChar w:fldCharType="separate"/>
            </w:r>
            <w:r>
              <w:rPr>
                <w:rFonts w:hint="eastAsia" w:ascii="宋体" w:hAnsi="宋体" w:eastAsia="宋体" w:cs="宋体"/>
                <w:spacing w:val="7"/>
                <w:position w:val="6"/>
                <w:sz w:val="21"/>
                <w:szCs w:val="21"/>
                <w:highlight w:val="none"/>
              </w:rPr>
              <w:t>②</w:t>
            </w:r>
            <w:r>
              <w:rPr>
                <w:rFonts w:hint="eastAsia" w:ascii="宋体" w:hAnsi="宋体" w:eastAsia="宋体" w:cs="宋体"/>
                <w:spacing w:val="7"/>
                <w:position w:val="6"/>
                <w:sz w:val="21"/>
                <w:szCs w:val="21"/>
                <w:highlight w:val="none"/>
              </w:rPr>
              <w:fldChar w:fldCharType="end"/>
            </w:r>
            <w:r>
              <w:rPr>
                <w:rFonts w:hint="eastAsia" w:ascii="宋体" w:hAnsi="宋体" w:eastAsia="宋体" w:cs="宋体"/>
                <w:b/>
                <w:bCs/>
                <w:spacing w:val="7"/>
                <w:sz w:val="21"/>
                <w:szCs w:val="21"/>
                <w:highlight w:val="none"/>
              </w:rPr>
              <w:t>高级职称</w:t>
            </w:r>
            <w:r>
              <w:rPr>
                <w:rFonts w:hint="eastAsia" w:ascii="宋体" w:hAnsi="宋体" w:eastAsia="宋体" w:cs="宋体"/>
                <w:b/>
                <w:bCs/>
                <w:spacing w:val="7"/>
                <w:sz w:val="21"/>
                <w:szCs w:val="21"/>
                <w:highlight w:val="none"/>
                <w:lang w:eastAsia="zh-CN"/>
              </w:rPr>
              <w:t>。</w:t>
            </w:r>
          </w:p>
        </w:tc>
      </w:tr>
    </w:tbl>
    <w:p w14:paraId="3C741EE4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</w:p>
    <w:p w14:paraId="173A9150">
      <w:pPr>
        <w:jc w:val="both"/>
        <w:rPr>
          <w:rFonts w:hint="eastAsia" w:ascii="宋体" w:hAnsi="宋体" w:eastAsia="宋体" w:cs="宋体"/>
          <w:sz w:val="20"/>
          <w:szCs w:val="20"/>
          <w:lang w:val="en-US" w:eastAsia="zh-CN"/>
        </w:rPr>
      </w:pPr>
    </w:p>
    <w:p w14:paraId="6D8A0D70">
      <w:pPr>
        <w:spacing w:before="59" w:line="234" w:lineRule="auto"/>
        <w:ind w:left="5"/>
        <w:rPr>
          <w:rFonts w:ascii="宋体" w:hAnsi="宋体" w:eastAsia="宋体" w:cs="宋体"/>
          <w:spacing w:val="-1"/>
          <w:position w:val="9"/>
          <w:sz w:val="8"/>
          <w:szCs w:val="8"/>
        </w:rPr>
      </w:pPr>
    </w:p>
    <w:p w14:paraId="21437329">
      <w:pPr>
        <w:spacing w:before="59" w:line="234" w:lineRule="auto"/>
        <w:ind w:left="5"/>
        <w:rPr>
          <w:rFonts w:ascii="宋体" w:hAnsi="宋体" w:eastAsia="宋体" w:cs="宋体"/>
          <w:spacing w:val="-1"/>
          <w:position w:val="9"/>
          <w:sz w:val="8"/>
          <w:szCs w:val="8"/>
        </w:rPr>
      </w:pPr>
    </w:p>
    <w:p w14:paraId="15837F25">
      <w:pPr>
        <w:spacing w:before="59" w:line="234" w:lineRule="auto"/>
        <w:rPr>
          <w:rFonts w:ascii="宋体" w:hAnsi="宋体" w:eastAsia="宋体" w:cs="宋体"/>
          <w:spacing w:val="-1"/>
          <w:position w:val="9"/>
          <w:sz w:val="8"/>
          <w:szCs w:val="8"/>
        </w:rPr>
      </w:pPr>
    </w:p>
    <w:p w14:paraId="751AB50A">
      <w:pPr>
        <w:spacing w:before="59" w:line="234" w:lineRule="auto"/>
        <w:ind w:left="5"/>
        <w:rPr>
          <w:rFonts w:ascii="黑体" w:hAnsi="黑体" w:eastAsia="黑体" w:cs="黑体"/>
          <w:sz w:val="18"/>
          <w:szCs w:val="18"/>
        </w:rPr>
      </w:pPr>
      <w:r>
        <w:rPr>
          <w:rFonts w:ascii="宋体" w:hAnsi="宋体" w:eastAsia="宋体" w:cs="宋体"/>
          <w:spacing w:val="-1"/>
          <w:position w:val="9"/>
          <w:sz w:val="8"/>
          <w:szCs w:val="8"/>
        </w:rPr>
        <w:t>①</w:t>
      </w:r>
      <w:r>
        <w:rPr>
          <w:rFonts w:ascii="黑体" w:hAnsi="黑体" w:eastAsia="黑体" w:cs="黑体"/>
          <w:b/>
          <w:bCs/>
          <w:spacing w:val="-1"/>
          <w:sz w:val="18"/>
          <w:szCs w:val="18"/>
        </w:rPr>
        <w:t>投标人自有人员的证明见“拟委任的项目负责人资历表”脚注要求。下同。</w:t>
      </w:r>
    </w:p>
    <w:p w14:paraId="2D5FC97B">
      <w:pPr>
        <w:spacing w:before="5" w:line="237" w:lineRule="auto"/>
        <w:ind w:left="99" w:right="2" w:hanging="94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1"/>
          <w:position w:val="9"/>
          <w:sz w:val="8"/>
          <w:szCs w:val="8"/>
        </w:rPr>
        <w:t>②</w:t>
      </w:r>
      <w:r>
        <w:rPr>
          <w:rFonts w:ascii="黑体" w:hAnsi="黑体" w:eastAsia="黑体" w:cs="黑体"/>
          <w:b/>
          <w:bCs/>
          <w:spacing w:val="-1"/>
          <w:sz w:val="18"/>
          <w:szCs w:val="18"/>
        </w:rPr>
        <w:t>公路工程相关专业</w:t>
      </w:r>
      <w:r>
        <w:rPr>
          <w:rFonts w:ascii="宋体" w:hAnsi="宋体" w:eastAsia="宋体" w:cs="宋体"/>
          <w:spacing w:val="-1"/>
          <w:sz w:val="18"/>
          <w:szCs w:val="18"/>
        </w:rPr>
        <w:t>指其职称证上的专业为道桥、路桥、公路工程、</w:t>
      </w:r>
      <w:r>
        <w:rPr>
          <w:rFonts w:ascii="宋体" w:hAnsi="宋体" w:eastAsia="宋体" w:cs="宋体"/>
          <w:spacing w:val="-2"/>
          <w:sz w:val="18"/>
          <w:szCs w:val="18"/>
        </w:rPr>
        <w:t>交通土建、桥梁、交通工程与道桥相关的专业，如职称证</w:t>
      </w:r>
      <w:r>
        <w:rPr>
          <w:rFonts w:ascii="宋体" w:hAnsi="宋体" w:eastAsia="宋体" w:cs="宋体"/>
          <w:sz w:val="18"/>
          <w:szCs w:val="18"/>
        </w:rPr>
        <w:t xml:space="preserve"> 上无专业，则其毕业证上的专业应为道桥、路桥、公路工程、交通土建、桥梁、交通工</w:t>
      </w:r>
      <w:r>
        <w:rPr>
          <w:rFonts w:ascii="宋体" w:hAnsi="宋体" w:eastAsia="宋体" w:cs="宋体"/>
          <w:spacing w:val="-1"/>
          <w:sz w:val="18"/>
          <w:szCs w:val="18"/>
        </w:rPr>
        <w:t>程与道桥相关的专业。</w:t>
      </w:r>
    </w:p>
    <w:p w14:paraId="5AB0A674">
      <w:pPr>
        <w:spacing w:line="237" w:lineRule="auto"/>
        <w:rPr>
          <w:rFonts w:ascii="宋体" w:hAnsi="宋体" w:eastAsia="宋体" w:cs="宋体"/>
          <w:sz w:val="18"/>
          <w:szCs w:val="18"/>
        </w:rPr>
        <w:sectPr>
          <w:footerReference r:id="rId3" w:type="default"/>
          <w:pgSz w:w="11900" w:h="16840"/>
          <w:pgMar w:top="852" w:right="1078" w:bottom="1041" w:left="1077" w:header="0" w:footer="854" w:gutter="0"/>
          <w:cols w:space="720" w:num="1"/>
        </w:sectPr>
      </w:pPr>
    </w:p>
    <w:p w14:paraId="36D70537">
      <w:pPr>
        <w:spacing w:line="547" w:lineRule="exact"/>
      </w:pPr>
    </w:p>
    <w:p w14:paraId="39C15722">
      <w:pPr>
        <w:tabs>
          <w:tab w:val="left" w:pos="0"/>
        </w:tabs>
        <w:spacing w:beforeLines="0" w:afterLines="0" w:line="360" w:lineRule="auto"/>
        <w:jc w:val="left"/>
        <w:rPr>
          <w:rFonts w:hint="eastAsia" w:ascii="黑体" w:hAnsi="Times New Roman" w:eastAsia="黑体" w:cs="Times New Roman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Times New Roman" w:eastAsia="黑体" w:cs="Times New Roman"/>
          <w:b w:val="0"/>
          <w:bCs w:val="0"/>
          <w:kern w:val="2"/>
          <w:sz w:val="28"/>
          <w:szCs w:val="28"/>
          <w:lang w:val="en-US" w:eastAsia="zh-CN" w:bidi="ar-SA"/>
        </w:rPr>
        <w:t>5、评标办法前附表</w:t>
      </w:r>
    </w:p>
    <w:tbl>
      <w:tblPr>
        <w:tblStyle w:val="10"/>
        <w:tblW w:w="9284" w:type="dxa"/>
        <w:tblInd w:w="22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2"/>
        <w:gridCol w:w="1493"/>
        <w:gridCol w:w="6839"/>
      </w:tblGrid>
      <w:tr w14:paraId="17E3C6F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2445" w:type="dxa"/>
            <w:gridSpan w:val="2"/>
            <w:vAlign w:val="top"/>
          </w:tcPr>
          <w:p w14:paraId="44D06E5E">
            <w:pPr>
              <w:pStyle w:val="9"/>
              <w:spacing w:before="197" w:line="228" w:lineRule="auto"/>
              <w:ind w:left="914"/>
            </w:pPr>
            <w:r>
              <w:rPr>
                <w:spacing w:val="6"/>
              </w:rPr>
              <w:t>条款号</w:t>
            </w:r>
          </w:p>
        </w:tc>
        <w:tc>
          <w:tcPr>
            <w:tcW w:w="6839" w:type="dxa"/>
            <w:vAlign w:val="top"/>
          </w:tcPr>
          <w:p w14:paraId="6067FB4A">
            <w:pPr>
              <w:pStyle w:val="9"/>
              <w:spacing w:before="197" w:line="228" w:lineRule="auto"/>
              <w:ind w:left="2477"/>
            </w:pPr>
            <w:r>
              <w:rPr>
                <w:spacing w:val="9"/>
              </w:rPr>
              <w:t>评审因素与评审标准</w:t>
            </w:r>
          </w:p>
        </w:tc>
      </w:tr>
      <w:tr w14:paraId="3038BD4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4" w:hRule="atLeast"/>
        </w:trPr>
        <w:tc>
          <w:tcPr>
            <w:tcW w:w="952" w:type="dxa"/>
            <w:vAlign w:val="top"/>
          </w:tcPr>
          <w:p w14:paraId="6EB4E45E">
            <w:pPr>
              <w:spacing w:line="263" w:lineRule="auto"/>
              <w:rPr>
                <w:rFonts w:ascii="Arial"/>
                <w:sz w:val="21"/>
              </w:rPr>
            </w:pPr>
          </w:p>
          <w:p w14:paraId="5CEE3563">
            <w:pPr>
              <w:spacing w:line="263" w:lineRule="auto"/>
              <w:rPr>
                <w:rFonts w:ascii="Arial"/>
                <w:sz w:val="21"/>
              </w:rPr>
            </w:pPr>
          </w:p>
          <w:p w14:paraId="7DDB0241">
            <w:pPr>
              <w:spacing w:line="264" w:lineRule="auto"/>
              <w:rPr>
                <w:rFonts w:ascii="Arial"/>
                <w:sz w:val="21"/>
              </w:rPr>
            </w:pPr>
          </w:p>
          <w:p w14:paraId="4C7D8EF5">
            <w:pPr>
              <w:spacing w:line="264" w:lineRule="auto"/>
              <w:rPr>
                <w:rFonts w:ascii="Arial"/>
                <w:sz w:val="21"/>
              </w:rPr>
            </w:pPr>
          </w:p>
          <w:p w14:paraId="014A0AE0">
            <w:pPr>
              <w:pStyle w:val="9"/>
              <w:spacing w:before="65" w:line="189" w:lineRule="auto"/>
              <w:ind w:left="443"/>
            </w:pPr>
            <w:r>
              <w:t>1</w:t>
            </w:r>
          </w:p>
        </w:tc>
        <w:tc>
          <w:tcPr>
            <w:tcW w:w="1493" w:type="dxa"/>
            <w:vAlign w:val="top"/>
          </w:tcPr>
          <w:p w14:paraId="43B0F7AF">
            <w:pPr>
              <w:spacing w:line="255" w:lineRule="auto"/>
              <w:rPr>
                <w:rFonts w:ascii="Arial"/>
                <w:sz w:val="21"/>
              </w:rPr>
            </w:pPr>
          </w:p>
          <w:p w14:paraId="7A0EC99D">
            <w:pPr>
              <w:spacing w:line="255" w:lineRule="auto"/>
              <w:rPr>
                <w:rFonts w:ascii="Arial"/>
                <w:sz w:val="21"/>
              </w:rPr>
            </w:pPr>
          </w:p>
          <w:p w14:paraId="46647690">
            <w:pPr>
              <w:spacing w:line="256" w:lineRule="auto"/>
              <w:rPr>
                <w:rFonts w:ascii="Arial"/>
                <w:sz w:val="21"/>
              </w:rPr>
            </w:pPr>
          </w:p>
          <w:p w14:paraId="34EE266B">
            <w:pPr>
              <w:spacing w:line="256" w:lineRule="auto"/>
              <w:rPr>
                <w:rFonts w:ascii="Arial"/>
                <w:sz w:val="21"/>
              </w:rPr>
            </w:pPr>
          </w:p>
          <w:p w14:paraId="25B6853D">
            <w:pPr>
              <w:pStyle w:val="9"/>
              <w:spacing w:before="65" w:line="228" w:lineRule="auto"/>
              <w:ind w:left="329"/>
            </w:pPr>
            <w:r>
              <w:rPr>
                <w:spacing w:val="7"/>
              </w:rPr>
              <w:t>评标方法</w:t>
            </w:r>
          </w:p>
        </w:tc>
        <w:tc>
          <w:tcPr>
            <w:tcW w:w="6839" w:type="dxa"/>
            <w:vAlign w:val="top"/>
          </w:tcPr>
          <w:p w14:paraId="09D53258">
            <w:pPr>
              <w:tabs>
                <w:tab w:val="left" w:pos="0"/>
              </w:tabs>
              <w:spacing w:beforeLines="0" w:afterLines="0" w:line="360" w:lineRule="auto"/>
              <w:ind w:firstLine="420" w:firstLineChars="200"/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  <w:t>综合评分相等时，评标委员会依次按照以下优先顺序推荐中标候选人或 确定中标人：</w:t>
            </w:r>
          </w:p>
          <w:p w14:paraId="24B62DC5">
            <w:pPr>
              <w:tabs>
                <w:tab w:val="left" w:pos="0"/>
              </w:tabs>
              <w:spacing w:beforeLines="0" w:afterLines="0" w:line="360" w:lineRule="auto"/>
              <w:ind w:firstLine="420" w:firstLineChars="200"/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  <w:t>（1）评标价低的投标人优先；</w:t>
            </w:r>
          </w:p>
          <w:p w14:paraId="6C8B85F2">
            <w:pPr>
              <w:tabs>
                <w:tab w:val="left" w:pos="0"/>
              </w:tabs>
              <w:spacing w:beforeLines="0" w:afterLines="0" w:line="360" w:lineRule="auto"/>
              <w:ind w:firstLine="420" w:firstLineChars="200"/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  <w:t>（2）商务和技术得分较高的投标人优先；</w:t>
            </w:r>
          </w:p>
          <w:p w14:paraId="35E64311">
            <w:pPr>
              <w:tabs>
                <w:tab w:val="left" w:pos="0"/>
              </w:tabs>
              <w:spacing w:beforeLines="0" w:afterLines="0" w:line="360" w:lineRule="auto"/>
              <w:ind w:firstLine="420" w:firstLineChars="200"/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  <w:t>（3）若以上各项比较因素都相等，则通过评标委员会投票表决，推荐 票数多的投标人优先。</w:t>
            </w:r>
          </w:p>
        </w:tc>
      </w:tr>
      <w:tr w14:paraId="5EBDEE2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52" w:type="dxa"/>
            <w:vAlign w:val="top"/>
          </w:tcPr>
          <w:p w14:paraId="0FA8479E">
            <w:pPr>
              <w:spacing w:line="249" w:lineRule="auto"/>
              <w:rPr>
                <w:rFonts w:ascii="Arial"/>
                <w:sz w:val="21"/>
              </w:rPr>
            </w:pPr>
          </w:p>
          <w:p w14:paraId="0450F231">
            <w:pPr>
              <w:spacing w:line="249" w:lineRule="auto"/>
              <w:rPr>
                <w:rFonts w:ascii="Arial"/>
                <w:sz w:val="21"/>
              </w:rPr>
            </w:pPr>
          </w:p>
          <w:p w14:paraId="29B59059">
            <w:pPr>
              <w:spacing w:line="249" w:lineRule="auto"/>
              <w:rPr>
                <w:rFonts w:ascii="Arial"/>
                <w:sz w:val="21"/>
              </w:rPr>
            </w:pPr>
          </w:p>
          <w:p w14:paraId="76D98B80">
            <w:pPr>
              <w:spacing w:line="249" w:lineRule="auto"/>
              <w:rPr>
                <w:rFonts w:ascii="Arial"/>
                <w:sz w:val="21"/>
              </w:rPr>
            </w:pPr>
          </w:p>
          <w:p w14:paraId="3526A8F4">
            <w:pPr>
              <w:spacing w:line="249" w:lineRule="auto"/>
              <w:rPr>
                <w:rFonts w:ascii="Arial"/>
                <w:sz w:val="21"/>
              </w:rPr>
            </w:pPr>
          </w:p>
          <w:p w14:paraId="4EC81298">
            <w:pPr>
              <w:spacing w:line="249" w:lineRule="auto"/>
              <w:rPr>
                <w:rFonts w:ascii="Arial"/>
                <w:sz w:val="21"/>
              </w:rPr>
            </w:pPr>
          </w:p>
          <w:p w14:paraId="295D06CF">
            <w:pPr>
              <w:spacing w:line="249" w:lineRule="auto"/>
              <w:rPr>
                <w:rFonts w:ascii="Arial"/>
                <w:sz w:val="21"/>
              </w:rPr>
            </w:pPr>
          </w:p>
          <w:p w14:paraId="0AE4A53B">
            <w:pPr>
              <w:spacing w:line="249" w:lineRule="auto"/>
              <w:rPr>
                <w:rFonts w:ascii="Arial"/>
                <w:sz w:val="21"/>
              </w:rPr>
            </w:pPr>
          </w:p>
          <w:p w14:paraId="4853B8A9">
            <w:pPr>
              <w:spacing w:line="249" w:lineRule="auto"/>
              <w:rPr>
                <w:rFonts w:ascii="Arial"/>
                <w:sz w:val="21"/>
              </w:rPr>
            </w:pPr>
          </w:p>
          <w:p w14:paraId="5E3E594B">
            <w:pPr>
              <w:spacing w:line="249" w:lineRule="auto"/>
              <w:rPr>
                <w:rFonts w:ascii="Arial"/>
                <w:sz w:val="21"/>
              </w:rPr>
            </w:pPr>
          </w:p>
          <w:p w14:paraId="69097EFE">
            <w:pPr>
              <w:spacing w:line="250" w:lineRule="auto"/>
              <w:rPr>
                <w:rFonts w:ascii="Arial"/>
                <w:sz w:val="21"/>
              </w:rPr>
            </w:pPr>
          </w:p>
          <w:p w14:paraId="3CFCE296">
            <w:pPr>
              <w:spacing w:line="250" w:lineRule="auto"/>
              <w:rPr>
                <w:rFonts w:ascii="Arial"/>
                <w:sz w:val="21"/>
              </w:rPr>
            </w:pPr>
          </w:p>
          <w:p w14:paraId="4AB26A72">
            <w:pPr>
              <w:spacing w:line="250" w:lineRule="auto"/>
              <w:rPr>
                <w:rFonts w:ascii="Arial"/>
                <w:sz w:val="21"/>
              </w:rPr>
            </w:pPr>
          </w:p>
          <w:p w14:paraId="0684A3E6">
            <w:pPr>
              <w:spacing w:line="250" w:lineRule="auto"/>
              <w:rPr>
                <w:rFonts w:ascii="Arial"/>
                <w:sz w:val="21"/>
              </w:rPr>
            </w:pPr>
          </w:p>
          <w:p w14:paraId="6EF9C83B">
            <w:pPr>
              <w:spacing w:line="250" w:lineRule="auto"/>
              <w:rPr>
                <w:rFonts w:ascii="Arial"/>
                <w:sz w:val="21"/>
              </w:rPr>
            </w:pPr>
          </w:p>
          <w:p w14:paraId="2FB77B0B">
            <w:pPr>
              <w:spacing w:line="250" w:lineRule="auto"/>
              <w:rPr>
                <w:rFonts w:ascii="Arial"/>
                <w:sz w:val="21"/>
              </w:rPr>
            </w:pPr>
          </w:p>
          <w:p w14:paraId="0229DF87">
            <w:pPr>
              <w:spacing w:line="250" w:lineRule="auto"/>
              <w:rPr>
                <w:rFonts w:ascii="Arial"/>
                <w:sz w:val="21"/>
              </w:rPr>
            </w:pPr>
          </w:p>
          <w:p w14:paraId="752B0AED">
            <w:pPr>
              <w:spacing w:line="250" w:lineRule="auto"/>
              <w:rPr>
                <w:rFonts w:ascii="Arial"/>
                <w:sz w:val="21"/>
              </w:rPr>
            </w:pPr>
          </w:p>
          <w:p w14:paraId="5BA7484D">
            <w:pPr>
              <w:spacing w:line="250" w:lineRule="auto"/>
              <w:rPr>
                <w:rFonts w:ascii="Arial"/>
                <w:sz w:val="21"/>
              </w:rPr>
            </w:pPr>
          </w:p>
          <w:p w14:paraId="321FAD7C">
            <w:pPr>
              <w:spacing w:line="250" w:lineRule="auto"/>
              <w:rPr>
                <w:rFonts w:ascii="Arial"/>
                <w:sz w:val="21"/>
              </w:rPr>
            </w:pPr>
          </w:p>
          <w:p w14:paraId="59992F85">
            <w:pPr>
              <w:pStyle w:val="9"/>
              <w:spacing w:before="65" w:line="337" w:lineRule="auto"/>
              <w:ind w:left="222" w:right="211"/>
            </w:pPr>
            <w:r>
              <w:rPr>
                <w:spacing w:val="2"/>
              </w:rPr>
              <w:t>2.1.1 2.1.3</w:t>
            </w:r>
          </w:p>
        </w:tc>
        <w:tc>
          <w:tcPr>
            <w:tcW w:w="1493" w:type="dxa"/>
            <w:vAlign w:val="top"/>
          </w:tcPr>
          <w:p w14:paraId="67BF6685">
            <w:pPr>
              <w:spacing w:line="251" w:lineRule="auto"/>
              <w:rPr>
                <w:rFonts w:ascii="Arial"/>
                <w:sz w:val="21"/>
              </w:rPr>
            </w:pPr>
          </w:p>
          <w:p w14:paraId="519AB369">
            <w:pPr>
              <w:spacing w:line="251" w:lineRule="auto"/>
              <w:rPr>
                <w:rFonts w:ascii="Arial"/>
                <w:sz w:val="21"/>
              </w:rPr>
            </w:pPr>
          </w:p>
          <w:p w14:paraId="55D583EB">
            <w:pPr>
              <w:spacing w:line="251" w:lineRule="auto"/>
              <w:rPr>
                <w:rFonts w:ascii="Arial"/>
                <w:sz w:val="21"/>
              </w:rPr>
            </w:pPr>
          </w:p>
          <w:p w14:paraId="12AEF253">
            <w:pPr>
              <w:spacing w:line="251" w:lineRule="auto"/>
              <w:rPr>
                <w:rFonts w:ascii="Arial"/>
                <w:sz w:val="21"/>
              </w:rPr>
            </w:pPr>
          </w:p>
          <w:p w14:paraId="09D1A2CC">
            <w:pPr>
              <w:spacing w:line="251" w:lineRule="auto"/>
              <w:rPr>
                <w:rFonts w:ascii="Arial"/>
                <w:sz w:val="21"/>
              </w:rPr>
            </w:pPr>
          </w:p>
          <w:p w14:paraId="538E1C61">
            <w:pPr>
              <w:spacing w:line="251" w:lineRule="auto"/>
              <w:rPr>
                <w:rFonts w:ascii="Arial"/>
                <w:sz w:val="21"/>
              </w:rPr>
            </w:pPr>
          </w:p>
          <w:p w14:paraId="052A56C0">
            <w:pPr>
              <w:spacing w:line="251" w:lineRule="auto"/>
              <w:rPr>
                <w:rFonts w:ascii="Arial"/>
                <w:sz w:val="21"/>
              </w:rPr>
            </w:pPr>
          </w:p>
          <w:p w14:paraId="2E12D228">
            <w:pPr>
              <w:spacing w:line="251" w:lineRule="auto"/>
              <w:rPr>
                <w:rFonts w:ascii="Arial"/>
                <w:sz w:val="21"/>
              </w:rPr>
            </w:pPr>
          </w:p>
          <w:p w14:paraId="01C97BF1">
            <w:pPr>
              <w:spacing w:line="252" w:lineRule="auto"/>
              <w:rPr>
                <w:rFonts w:ascii="Arial"/>
                <w:sz w:val="21"/>
              </w:rPr>
            </w:pPr>
          </w:p>
          <w:p w14:paraId="6F182ED0">
            <w:pPr>
              <w:spacing w:line="252" w:lineRule="auto"/>
              <w:rPr>
                <w:rFonts w:ascii="Arial"/>
                <w:sz w:val="21"/>
              </w:rPr>
            </w:pPr>
          </w:p>
          <w:p w14:paraId="6B0A9459">
            <w:pPr>
              <w:spacing w:line="252" w:lineRule="auto"/>
              <w:rPr>
                <w:rFonts w:ascii="Arial"/>
                <w:sz w:val="21"/>
              </w:rPr>
            </w:pPr>
          </w:p>
          <w:p w14:paraId="7D7B7078">
            <w:pPr>
              <w:spacing w:line="252" w:lineRule="auto"/>
              <w:rPr>
                <w:rFonts w:ascii="Arial"/>
                <w:sz w:val="21"/>
              </w:rPr>
            </w:pPr>
          </w:p>
          <w:p w14:paraId="28ED6A4B">
            <w:pPr>
              <w:spacing w:line="252" w:lineRule="auto"/>
              <w:rPr>
                <w:rFonts w:ascii="Arial"/>
                <w:sz w:val="21"/>
              </w:rPr>
            </w:pPr>
          </w:p>
          <w:p w14:paraId="4AA67568">
            <w:pPr>
              <w:spacing w:line="252" w:lineRule="auto"/>
              <w:rPr>
                <w:rFonts w:ascii="Arial"/>
                <w:sz w:val="21"/>
              </w:rPr>
            </w:pPr>
          </w:p>
          <w:p w14:paraId="4E84C557">
            <w:pPr>
              <w:spacing w:line="252" w:lineRule="auto"/>
              <w:rPr>
                <w:rFonts w:ascii="Arial"/>
                <w:sz w:val="21"/>
              </w:rPr>
            </w:pPr>
          </w:p>
          <w:p w14:paraId="1CF67B2F">
            <w:pPr>
              <w:spacing w:line="252" w:lineRule="auto"/>
              <w:rPr>
                <w:rFonts w:ascii="Arial"/>
                <w:sz w:val="21"/>
              </w:rPr>
            </w:pPr>
          </w:p>
          <w:p w14:paraId="2300F992">
            <w:pPr>
              <w:spacing w:line="252" w:lineRule="auto"/>
              <w:rPr>
                <w:rFonts w:ascii="Arial"/>
                <w:sz w:val="21"/>
              </w:rPr>
            </w:pPr>
          </w:p>
          <w:p w14:paraId="3BCA4F79">
            <w:pPr>
              <w:spacing w:line="252" w:lineRule="auto"/>
              <w:rPr>
                <w:rFonts w:ascii="Arial"/>
                <w:sz w:val="21"/>
              </w:rPr>
            </w:pPr>
          </w:p>
          <w:p w14:paraId="65659D99">
            <w:pPr>
              <w:spacing w:line="252" w:lineRule="auto"/>
              <w:rPr>
                <w:rFonts w:ascii="Arial"/>
                <w:sz w:val="21"/>
              </w:rPr>
            </w:pPr>
          </w:p>
          <w:p w14:paraId="74F4281F">
            <w:pPr>
              <w:pStyle w:val="9"/>
              <w:spacing w:before="65" w:line="318" w:lineRule="auto"/>
              <w:ind w:left="446" w:right="222" w:hanging="219"/>
            </w:pPr>
            <w:r>
              <w:rPr>
                <w:spacing w:val="7"/>
              </w:rPr>
              <w:t>形式评审与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响应性</w:t>
            </w:r>
          </w:p>
          <w:p w14:paraId="457ABBAF">
            <w:pPr>
              <w:pStyle w:val="9"/>
              <w:spacing w:before="30" w:line="228" w:lineRule="auto"/>
              <w:ind w:left="329"/>
            </w:pPr>
            <w:r>
              <w:rPr>
                <w:spacing w:val="7"/>
              </w:rPr>
              <w:t>评审标准</w:t>
            </w:r>
          </w:p>
        </w:tc>
        <w:tc>
          <w:tcPr>
            <w:tcW w:w="6839" w:type="dxa"/>
            <w:vAlign w:val="top"/>
          </w:tcPr>
          <w:p w14:paraId="104F0764">
            <w:pPr>
              <w:tabs>
                <w:tab w:val="left" w:pos="0"/>
              </w:tabs>
              <w:spacing w:beforeLines="0" w:afterLines="0" w:line="360" w:lineRule="auto"/>
              <w:ind w:firstLine="422" w:firstLineChars="200"/>
              <w:rPr>
                <w:rFonts w:hint="eastAsia" w:ascii="宋体" w:hAnsi="宋体" w:eastAsia="宋体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  <w:t>第一个信封（商务及技术文件）评审标准：</w:t>
            </w:r>
          </w:p>
          <w:p w14:paraId="08D76F0F">
            <w:pPr>
              <w:tabs>
                <w:tab w:val="left" w:pos="0"/>
              </w:tabs>
              <w:spacing w:beforeLines="0" w:afterLines="0" w:line="360" w:lineRule="auto"/>
              <w:ind w:firstLine="420" w:firstLineChars="200"/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  <w:t>（1）投标文件按照招标文件规定的格式、 内容填写，字迹清晰可辨：</w:t>
            </w:r>
          </w:p>
          <w:p w14:paraId="531713B9">
            <w:pPr>
              <w:tabs>
                <w:tab w:val="left" w:pos="0"/>
              </w:tabs>
              <w:spacing w:beforeLines="0" w:afterLines="0" w:line="360" w:lineRule="auto"/>
              <w:ind w:firstLine="420" w:firstLineChars="200"/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  <w:t>a.投标函按招标文件规定填报了项目名称、标段号、补遗书编号（如有）、 设计服务期限、工程质量要求及安全目标；</w:t>
            </w:r>
          </w:p>
          <w:p w14:paraId="40456451">
            <w:pPr>
              <w:tabs>
                <w:tab w:val="left" w:pos="0"/>
              </w:tabs>
              <w:spacing w:beforeLines="0" w:afterLines="0" w:line="360" w:lineRule="auto"/>
              <w:ind w:firstLine="420" w:firstLineChars="200"/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  <w:t>b.投标文件组成齐全完整，内容均按规定填写。</w:t>
            </w:r>
          </w:p>
          <w:p w14:paraId="72FD7B6B">
            <w:pPr>
              <w:tabs>
                <w:tab w:val="left" w:pos="0"/>
              </w:tabs>
              <w:spacing w:beforeLines="0" w:afterLines="0" w:line="360" w:lineRule="auto"/>
              <w:ind w:firstLine="420" w:firstLineChars="200"/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  <w:t>（2）投标文件上法定代表人或其委托代理人的签字、投标人的单位章 盖章齐全，符合招标文件规定。</w:t>
            </w:r>
          </w:p>
          <w:p w14:paraId="6C33AA82">
            <w:pPr>
              <w:tabs>
                <w:tab w:val="left" w:pos="0"/>
              </w:tabs>
              <w:spacing w:beforeLines="0" w:afterLines="0" w:line="360" w:lineRule="auto"/>
              <w:ind w:firstLine="420" w:firstLineChars="200"/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  <w:t>（3）投标人按照招标文件的规定提供了投标保证金：</w:t>
            </w:r>
          </w:p>
          <w:p w14:paraId="37E7F831">
            <w:pPr>
              <w:tabs>
                <w:tab w:val="left" w:pos="0"/>
              </w:tabs>
              <w:spacing w:beforeLines="0" w:afterLines="0" w:line="360" w:lineRule="auto"/>
              <w:ind w:firstLine="420" w:firstLineChars="200"/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  <w:t>a.投标保证金金额符合招标文件规定的金额，且投标保证金有效期不少 于投标有效期；</w:t>
            </w:r>
          </w:p>
          <w:p w14:paraId="5EC2785D">
            <w:pPr>
              <w:tabs>
                <w:tab w:val="left" w:pos="0"/>
              </w:tabs>
              <w:spacing w:beforeLines="0" w:afterLines="0" w:line="360" w:lineRule="auto"/>
              <w:ind w:firstLine="420" w:firstLineChars="200"/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  <w:t>b.若投标保证金采用保函形式提交，符合招标文件规定。</w:t>
            </w:r>
          </w:p>
          <w:p w14:paraId="38D4D0D7">
            <w:pPr>
              <w:tabs>
                <w:tab w:val="left" w:pos="0"/>
              </w:tabs>
              <w:spacing w:beforeLines="0" w:afterLines="0" w:line="360" w:lineRule="auto"/>
              <w:ind w:firstLine="420" w:firstLineChars="200"/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  <w:t>（4）投标人法定代表人授权委托代理人签署投标文件的，须提交授权 委托书，且授权人和被授权人均在授权委托书上签名。</w:t>
            </w:r>
          </w:p>
          <w:p w14:paraId="6BAD3F9A">
            <w:pPr>
              <w:tabs>
                <w:tab w:val="left" w:pos="0"/>
              </w:tabs>
              <w:spacing w:beforeLines="0" w:afterLines="0" w:line="360" w:lineRule="auto"/>
              <w:ind w:firstLine="420" w:firstLineChars="200"/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  <w:t>（5）投标人法定代表人亲自签署投标文件的，提供了法定代表人身份 证明，且法定代表人在法定代表人身份证明上签名</w:t>
            </w:r>
          </w:p>
          <w:p w14:paraId="595A02D9">
            <w:pPr>
              <w:tabs>
                <w:tab w:val="left" w:pos="0"/>
              </w:tabs>
              <w:spacing w:beforeLines="0" w:afterLines="0" w:line="360" w:lineRule="auto"/>
              <w:ind w:firstLine="420" w:firstLineChars="200"/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  <w:t>（6）投标人未提出分包计划。</w:t>
            </w:r>
          </w:p>
          <w:p w14:paraId="23FE8608">
            <w:pPr>
              <w:tabs>
                <w:tab w:val="left" w:pos="0"/>
              </w:tabs>
              <w:spacing w:beforeLines="0" w:afterLines="0" w:line="360" w:lineRule="auto"/>
              <w:ind w:firstLine="420" w:firstLineChars="200"/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  <w:t>（7） 同一投标人未提交两个以上不同的投标文件，但招标文件要求提 交备选投标的除外。</w:t>
            </w:r>
          </w:p>
          <w:p w14:paraId="5D05DEF2">
            <w:pPr>
              <w:tabs>
                <w:tab w:val="left" w:pos="0"/>
              </w:tabs>
              <w:spacing w:beforeLines="0" w:afterLines="0" w:line="360" w:lineRule="auto"/>
              <w:ind w:firstLine="420" w:firstLineChars="200"/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  <w:t>（8）投标文件中未出现有关投标报价的内容。</w:t>
            </w:r>
          </w:p>
          <w:p w14:paraId="566A9572">
            <w:pPr>
              <w:tabs>
                <w:tab w:val="left" w:pos="0"/>
              </w:tabs>
              <w:spacing w:beforeLines="0" w:afterLines="0" w:line="360" w:lineRule="auto"/>
              <w:ind w:firstLine="420" w:firstLineChars="200"/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  <w:t>（9）投标文件载明的招标项目完成期限未超过招标文件规定的时限。</w:t>
            </w:r>
          </w:p>
          <w:p w14:paraId="341D7EFE">
            <w:pPr>
              <w:tabs>
                <w:tab w:val="left" w:pos="0"/>
              </w:tabs>
              <w:spacing w:beforeLines="0" w:afterLines="0" w:line="360" w:lineRule="auto"/>
              <w:ind w:firstLine="420" w:firstLineChars="200"/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  <w:t>（10）投标文件对招标文件的实质性要求和条件作出响应。</w:t>
            </w:r>
          </w:p>
          <w:p w14:paraId="54742C94">
            <w:pPr>
              <w:tabs>
                <w:tab w:val="left" w:pos="0"/>
              </w:tabs>
              <w:spacing w:beforeLines="0" w:afterLines="0" w:line="360" w:lineRule="auto"/>
              <w:ind w:firstLine="420" w:firstLineChars="200"/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  <w:t>（11）权利义务符合招标文件规定：</w:t>
            </w:r>
          </w:p>
          <w:p w14:paraId="0A232AC3">
            <w:pPr>
              <w:tabs>
                <w:tab w:val="left" w:pos="0"/>
              </w:tabs>
              <w:spacing w:beforeLines="0" w:afterLines="0" w:line="360" w:lineRule="auto"/>
              <w:ind w:firstLine="420" w:firstLineChars="200"/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  <w:t>a.投标人应接受招标文件规定的风险划分原则，未提出新的风险划分办 法；</w:t>
            </w:r>
          </w:p>
        </w:tc>
      </w:tr>
    </w:tbl>
    <w:p w14:paraId="0369D6DE">
      <w:pPr>
        <w:pStyle w:val="4"/>
      </w:pPr>
    </w:p>
    <w:p w14:paraId="38BB1F13">
      <w:pPr>
        <w:sectPr>
          <w:footerReference r:id="rId4" w:type="default"/>
          <w:pgSz w:w="11900" w:h="16840"/>
          <w:pgMar w:top="852" w:right="1305" w:bottom="1041" w:left="1080" w:header="0" w:footer="854" w:gutter="0"/>
          <w:cols w:space="720" w:num="1"/>
        </w:sectPr>
      </w:pPr>
    </w:p>
    <w:p w14:paraId="40B5003C">
      <w:pPr>
        <w:spacing w:line="547" w:lineRule="exact"/>
      </w:pPr>
    </w:p>
    <w:p w14:paraId="7EB299B7">
      <w:pPr>
        <w:spacing w:line="40" w:lineRule="exact"/>
      </w:pPr>
    </w:p>
    <w:tbl>
      <w:tblPr>
        <w:tblStyle w:val="10"/>
        <w:tblW w:w="9239" w:type="dxa"/>
        <w:tblInd w:w="22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6"/>
        <w:gridCol w:w="1487"/>
        <w:gridCol w:w="6806"/>
      </w:tblGrid>
      <w:tr w14:paraId="14241A3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2433" w:type="dxa"/>
            <w:gridSpan w:val="2"/>
            <w:vAlign w:val="top"/>
          </w:tcPr>
          <w:p w14:paraId="557C5651">
            <w:pPr>
              <w:pStyle w:val="9"/>
              <w:spacing w:before="197" w:line="228" w:lineRule="auto"/>
              <w:ind w:left="914"/>
            </w:pPr>
            <w:r>
              <w:rPr>
                <w:spacing w:val="6"/>
              </w:rPr>
              <w:t>条款号</w:t>
            </w:r>
          </w:p>
        </w:tc>
        <w:tc>
          <w:tcPr>
            <w:tcW w:w="6806" w:type="dxa"/>
            <w:vAlign w:val="top"/>
          </w:tcPr>
          <w:p w14:paraId="65F42053">
            <w:pPr>
              <w:pStyle w:val="9"/>
              <w:spacing w:before="197" w:line="228" w:lineRule="auto"/>
              <w:ind w:left="2477"/>
            </w:pPr>
            <w:r>
              <w:rPr>
                <w:spacing w:val="9"/>
              </w:rPr>
              <w:t>评审因素与评审标准</w:t>
            </w:r>
          </w:p>
        </w:tc>
      </w:tr>
      <w:tr w14:paraId="06BE634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3" w:hRule="atLeast"/>
        </w:trPr>
        <w:tc>
          <w:tcPr>
            <w:tcW w:w="946" w:type="dxa"/>
            <w:vAlign w:val="top"/>
          </w:tcPr>
          <w:p w14:paraId="10F9D831">
            <w:pPr>
              <w:rPr>
                <w:rFonts w:ascii="Arial"/>
                <w:sz w:val="21"/>
              </w:rPr>
            </w:pPr>
          </w:p>
        </w:tc>
        <w:tc>
          <w:tcPr>
            <w:tcW w:w="1487" w:type="dxa"/>
            <w:vAlign w:val="top"/>
          </w:tcPr>
          <w:p w14:paraId="3EF4DC6F">
            <w:pPr>
              <w:rPr>
                <w:rFonts w:ascii="Arial"/>
                <w:sz w:val="21"/>
              </w:rPr>
            </w:pPr>
          </w:p>
        </w:tc>
        <w:tc>
          <w:tcPr>
            <w:tcW w:w="6806" w:type="dxa"/>
            <w:vAlign w:val="top"/>
          </w:tcPr>
          <w:p w14:paraId="6BCFB96C">
            <w:pPr>
              <w:tabs>
                <w:tab w:val="left" w:pos="0"/>
              </w:tabs>
              <w:spacing w:beforeLines="0" w:afterLines="0" w:line="360" w:lineRule="auto"/>
              <w:ind w:firstLine="420" w:firstLineChars="200"/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  <w:t>b.投标人未增加发包人的责任范围，或减少投标人义务；</w:t>
            </w:r>
          </w:p>
          <w:p w14:paraId="152C86B9">
            <w:pPr>
              <w:tabs>
                <w:tab w:val="left" w:pos="0"/>
              </w:tabs>
              <w:spacing w:beforeLines="0" w:afterLines="0" w:line="360" w:lineRule="auto"/>
              <w:ind w:firstLine="420" w:firstLineChars="200"/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  <w:t>c.投标人未提出不同的支付办法；</w:t>
            </w:r>
          </w:p>
          <w:p w14:paraId="4C69E076">
            <w:pPr>
              <w:tabs>
                <w:tab w:val="left" w:pos="0"/>
              </w:tabs>
              <w:spacing w:beforeLines="0" w:afterLines="0" w:line="360" w:lineRule="auto"/>
              <w:ind w:firstLine="420" w:firstLineChars="200"/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  <w:t>d.投标人对合同纠纷、事故处理办法未提出异议； e.投标人在投标活动中无欺诈行为；</w:t>
            </w:r>
          </w:p>
          <w:p w14:paraId="35895DE6">
            <w:pPr>
              <w:tabs>
                <w:tab w:val="left" w:pos="0"/>
              </w:tabs>
              <w:spacing w:beforeLines="0" w:afterLines="0" w:line="360" w:lineRule="auto"/>
              <w:ind w:firstLine="420" w:firstLineChars="200"/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  <w:t>f.投标人未对合同条款有重要保留。</w:t>
            </w:r>
          </w:p>
          <w:p w14:paraId="147DC083">
            <w:pPr>
              <w:tabs>
                <w:tab w:val="left" w:pos="0"/>
              </w:tabs>
              <w:spacing w:beforeLines="0" w:afterLines="0" w:line="360" w:lineRule="auto"/>
              <w:ind w:firstLine="422" w:firstLineChars="200"/>
              <w:rPr>
                <w:rFonts w:hint="eastAsia" w:ascii="宋体" w:hAnsi="宋体" w:eastAsia="宋体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  <w:t>第二个信封（报价文件）评审标准：</w:t>
            </w:r>
          </w:p>
          <w:p w14:paraId="2DEE9701">
            <w:pPr>
              <w:tabs>
                <w:tab w:val="left" w:pos="0"/>
              </w:tabs>
              <w:spacing w:beforeLines="0" w:afterLines="0" w:line="360" w:lineRule="auto"/>
              <w:ind w:firstLine="420" w:firstLineChars="200"/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  <w:t>（1）投标文件按照招标文件规定的格式、 内容填写，字迹清晰可辨， 内容齐全完整：</w:t>
            </w:r>
          </w:p>
          <w:p w14:paraId="53099171">
            <w:pPr>
              <w:tabs>
                <w:tab w:val="left" w:pos="0"/>
              </w:tabs>
              <w:spacing w:beforeLines="0" w:afterLines="0" w:line="360" w:lineRule="auto"/>
              <w:ind w:firstLine="420" w:firstLineChars="200"/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  <w:t>a.投标函按招标文件规定填报了项目名称、标段号、补遗书编号（如有）、 投标报价（包括大写金额和小写金额）；</w:t>
            </w:r>
          </w:p>
          <w:p w14:paraId="6AA0C99D">
            <w:pPr>
              <w:tabs>
                <w:tab w:val="left" w:pos="0"/>
              </w:tabs>
              <w:spacing w:beforeLines="0" w:afterLines="0" w:line="360" w:lineRule="auto"/>
              <w:ind w:firstLine="420" w:firstLineChars="200"/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  <w:t>b.投标文件组成齐全完整，内容均按规定填写。</w:t>
            </w:r>
          </w:p>
          <w:p w14:paraId="3332E49B">
            <w:pPr>
              <w:tabs>
                <w:tab w:val="left" w:pos="0"/>
              </w:tabs>
              <w:spacing w:beforeLines="0" w:afterLines="0" w:line="360" w:lineRule="auto"/>
              <w:ind w:firstLine="420" w:firstLineChars="200"/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  <w:t>（2）投标文件上法定代表人或其委托代理人的签字、投标人的单位章 盖章齐全，符合招标文件规定。</w:t>
            </w:r>
          </w:p>
          <w:p w14:paraId="534E7125">
            <w:pPr>
              <w:tabs>
                <w:tab w:val="left" w:pos="0"/>
              </w:tabs>
              <w:spacing w:beforeLines="0" w:afterLines="0" w:line="360" w:lineRule="auto"/>
              <w:ind w:firstLine="420" w:firstLineChars="200"/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  <w:t>（3）投标报价未超过招标文件设定的最高投标限价。</w:t>
            </w:r>
          </w:p>
          <w:p w14:paraId="45DC2801">
            <w:pPr>
              <w:tabs>
                <w:tab w:val="left" w:pos="0"/>
              </w:tabs>
              <w:spacing w:beforeLines="0" w:afterLines="0" w:line="360" w:lineRule="auto"/>
              <w:ind w:firstLine="420" w:firstLineChars="200"/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  <w:t>（4）投标报价中报价的大写金额能够确定具体数值。</w:t>
            </w:r>
          </w:p>
          <w:p w14:paraId="2C4EA506">
            <w:pPr>
              <w:tabs>
                <w:tab w:val="left" w:pos="0"/>
              </w:tabs>
              <w:spacing w:beforeLines="0" w:afterLines="0" w:line="360" w:lineRule="auto"/>
              <w:ind w:firstLine="420" w:firstLineChars="200"/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  <w:t>（5） 同一投标人未提交两个以上不同的投标报价，但招标文件要求提 交备选投标的除外。</w:t>
            </w:r>
          </w:p>
        </w:tc>
      </w:tr>
      <w:tr w14:paraId="3F59B68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1" w:hRule="atLeast"/>
        </w:trPr>
        <w:tc>
          <w:tcPr>
            <w:tcW w:w="946" w:type="dxa"/>
            <w:vAlign w:val="top"/>
          </w:tcPr>
          <w:p w14:paraId="775847EB">
            <w:pPr>
              <w:spacing w:line="255" w:lineRule="auto"/>
              <w:rPr>
                <w:rFonts w:ascii="Arial"/>
                <w:sz w:val="21"/>
              </w:rPr>
            </w:pPr>
          </w:p>
          <w:p w14:paraId="0BAED2F4">
            <w:pPr>
              <w:spacing w:line="255" w:lineRule="auto"/>
              <w:rPr>
                <w:rFonts w:ascii="Arial"/>
                <w:sz w:val="21"/>
              </w:rPr>
            </w:pPr>
          </w:p>
          <w:p w14:paraId="39E67655">
            <w:pPr>
              <w:spacing w:line="255" w:lineRule="auto"/>
              <w:rPr>
                <w:rFonts w:ascii="Arial"/>
                <w:sz w:val="21"/>
              </w:rPr>
            </w:pPr>
          </w:p>
          <w:p w14:paraId="31C641B4">
            <w:pPr>
              <w:spacing w:line="255" w:lineRule="auto"/>
              <w:rPr>
                <w:rFonts w:ascii="Arial"/>
                <w:sz w:val="21"/>
              </w:rPr>
            </w:pPr>
          </w:p>
          <w:p w14:paraId="1B78ABE5">
            <w:pPr>
              <w:spacing w:line="255" w:lineRule="auto"/>
              <w:rPr>
                <w:rFonts w:ascii="Arial"/>
                <w:sz w:val="21"/>
              </w:rPr>
            </w:pPr>
          </w:p>
          <w:p w14:paraId="46EDF994">
            <w:pPr>
              <w:spacing w:line="255" w:lineRule="auto"/>
              <w:rPr>
                <w:rFonts w:ascii="Arial"/>
                <w:sz w:val="21"/>
              </w:rPr>
            </w:pPr>
          </w:p>
          <w:p w14:paraId="6C90A744">
            <w:pPr>
              <w:spacing w:line="256" w:lineRule="auto"/>
              <w:rPr>
                <w:rFonts w:ascii="Arial"/>
                <w:sz w:val="21"/>
              </w:rPr>
            </w:pPr>
          </w:p>
          <w:p w14:paraId="236BF0E2">
            <w:pPr>
              <w:spacing w:line="256" w:lineRule="auto"/>
              <w:rPr>
                <w:rFonts w:ascii="Arial"/>
                <w:sz w:val="21"/>
              </w:rPr>
            </w:pPr>
          </w:p>
          <w:p w14:paraId="03127668">
            <w:pPr>
              <w:spacing w:line="256" w:lineRule="auto"/>
              <w:rPr>
                <w:rFonts w:ascii="Arial"/>
                <w:sz w:val="21"/>
              </w:rPr>
            </w:pPr>
          </w:p>
          <w:p w14:paraId="20F64C84">
            <w:pPr>
              <w:spacing w:line="256" w:lineRule="auto"/>
              <w:rPr>
                <w:rFonts w:ascii="Arial"/>
                <w:sz w:val="21"/>
              </w:rPr>
            </w:pPr>
          </w:p>
          <w:p w14:paraId="37F0E19C">
            <w:pPr>
              <w:spacing w:line="256" w:lineRule="auto"/>
              <w:rPr>
                <w:rFonts w:ascii="Arial"/>
                <w:sz w:val="21"/>
              </w:rPr>
            </w:pPr>
          </w:p>
          <w:p w14:paraId="386083F1">
            <w:pPr>
              <w:spacing w:line="256" w:lineRule="auto"/>
              <w:rPr>
                <w:rFonts w:ascii="Arial"/>
                <w:sz w:val="21"/>
              </w:rPr>
            </w:pPr>
          </w:p>
          <w:p w14:paraId="1CCE8472">
            <w:pPr>
              <w:spacing w:line="256" w:lineRule="auto"/>
              <w:rPr>
                <w:rFonts w:ascii="Arial"/>
                <w:sz w:val="21"/>
              </w:rPr>
            </w:pPr>
          </w:p>
          <w:p w14:paraId="0E16A135">
            <w:pPr>
              <w:pStyle w:val="9"/>
              <w:spacing w:before="65" w:line="190" w:lineRule="auto"/>
              <w:ind w:left="222"/>
            </w:pPr>
            <w:r>
              <w:rPr>
                <w:spacing w:val="2"/>
              </w:rPr>
              <w:t>2.1.2</w:t>
            </w:r>
          </w:p>
        </w:tc>
        <w:tc>
          <w:tcPr>
            <w:tcW w:w="1487" w:type="dxa"/>
            <w:vAlign w:val="top"/>
          </w:tcPr>
          <w:p w14:paraId="6B2390C9">
            <w:pPr>
              <w:spacing w:line="259" w:lineRule="auto"/>
              <w:rPr>
                <w:rFonts w:ascii="Arial"/>
                <w:sz w:val="21"/>
              </w:rPr>
            </w:pPr>
          </w:p>
          <w:p w14:paraId="32794A9E">
            <w:pPr>
              <w:spacing w:line="259" w:lineRule="auto"/>
              <w:rPr>
                <w:rFonts w:ascii="Arial"/>
                <w:sz w:val="21"/>
              </w:rPr>
            </w:pPr>
          </w:p>
          <w:p w14:paraId="09E97F1C">
            <w:pPr>
              <w:spacing w:line="259" w:lineRule="auto"/>
              <w:rPr>
                <w:rFonts w:ascii="Arial"/>
                <w:sz w:val="21"/>
              </w:rPr>
            </w:pPr>
          </w:p>
          <w:p w14:paraId="19EE4FB2">
            <w:pPr>
              <w:spacing w:line="259" w:lineRule="auto"/>
              <w:rPr>
                <w:rFonts w:ascii="Arial"/>
                <w:sz w:val="21"/>
              </w:rPr>
            </w:pPr>
          </w:p>
          <w:p w14:paraId="4E66E817">
            <w:pPr>
              <w:spacing w:line="259" w:lineRule="auto"/>
              <w:rPr>
                <w:rFonts w:ascii="Arial"/>
                <w:sz w:val="21"/>
              </w:rPr>
            </w:pPr>
          </w:p>
          <w:p w14:paraId="52C4083E">
            <w:pPr>
              <w:spacing w:line="259" w:lineRule="auto"/>
              <w:rPr>
                <w:rFonts w:ascii="Arial"/>
                <w:sz w:val="21"/>
              </w:rPr>
            </w:pPr>
          </w:p>
          <w:p w14:paraId="0DDC33D8">
            <w:pPr>
              <w:spacing w:line="259" w:lineRule="auto"/>
              <w:rPr>
                <w:rFonts w:ascii="Arial"/>
                <w:sz w:val="21"/>
              </w:rPr>
            </w:pPr>
          </w:p>
          <w:p w14:paraId="0BB9FD50">
            <w:pPr>
              <w:spacing w:line="259" w:lineRule="auto"/>
              <w:rPr>
                <w:rFonts w:ascii="Arial"/>
                <w:sz w:val="21"/>
              </w:rPr>
            </w:pPr>
          </w:p>
          <w:p w14:paraId="74153718">
            <w:pPr>
              <w:spacing w:line="259" w:lineRule="auto"/>
              <w:rPr>
                <w:rFonts w:ascii="Arial"/>
                <w:sz w:val="21"/>
              </w:rPr>
            </w:pPr>
          </w:p>
          <w:p w14:paraId="2EF8CCF7">
            <w:pPr>
              <w:spacing w:line="260" w:lineRule="auto"/>
              <w:rPr>
                <w:rFonts w:ascii="Arial"/>
                <w:sz w:val="21"/>
              </w:rPr>
            </w:pPr>
          </w:p>
          <w:p w14:paraId="0BB58B52">
            <w:pPr>
              <w:spacing w:line="260" w:lineRule="auto"/>
              <w:rPr>
                <w:rFonts w:ascii="Arial"/>
                <w:sz w:val="21"/>
              </w:rPr>
            </w:pPr>
          </w:p>
          <w:p w14:paraId="7FAA5224">
            <w:pPr>
              <w:spacing w:line="260" w:lineRule="auto"/>
              <w:rPr>
                <w:rFonts w:ascii="Arial"/>
                <w:sz w:val="21"/>
              </w:rPr>
            </w:pPr>
          </w:p>
          <w:p w14:paraId="5CF3D3D1">
            <w:pPr>
              <w:pStyle w:val="9"/>
              <w:spacing w:before="65" w:line="228" w:lineRule="auto"/>
              <w:ind w:left="550"/>
            </w:pPr>
            <w:r>
              <w:t>资格</w:t>
            </w:r>
          </w:p>
          <w:p w14:paraId="79AD9B7F">
            <w:pPr>
              <w:pStyle w:val="9"/>
              <w:spacing w:before="113" w:line="228" w:lineRule="auto"/>
              <w:ind w:left="329"/>
            </w:pPr>
            <w:r>
              <w:rPr>
                <w:spacing w:val="7"/>
              </w:rPr>
              <w:t>评审标准</w:t>
            </w:r>
          </w:p>
        </w:tc>
        <w:tc>
          <w:tcPr>
            <w:tcW w:w="6806" w:type="dxa"/>
            <w:vAlign w:val="top"/>
          </w:tcPr>
          <w:p w14:paraId="06AC81DC">
            <w:pPr>
              <w:tabs>
                <w:tab w:val="left" w:pos="0"/>
              </w:tabs>
              <w:spacing w:beforeLines="0" w:afterLines="0" w:line="360" w:lineRule="auto"/>
              <w:ind w:firstLine="440" w:firstLineChars="200"/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spacing w:val="5"/>
              </w:rPr>
              <w:t>（</w:t>
            </w: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  <w:t>1）投标人具备有效的营业执照、组织机构代码证（按照“三证合一 ” 或“五证合一 ”登记制度进行登记的，可仅提供营业执照副本）、勘察资   质证书副本、设计资质证书副本基本账户开户许可证或开户银行出具的证   明。</w:t>
            </w:r>
          </w:p>
          <w:p w14:paraId="7643D006">
            <w:pPr>
              <w:tabs>
                <w:tab w:val="left" w:pos="0"/>
              </w:tabs>
              <w:spacing w:beforeLines="0" w:afterLines="0" w:line="360" w:lineRule="auto"/>
              <w:ind w:firstLine="420" w:firstLineChars="200"/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  <w:t>（2）投标人的资质条件符合招标文件规定。</w:t>
            </w:r>
          </w:p>
          <w:p w14:paraId="025522D4">
            <w:pPr>
              <w:tabs>
                <w:tab w:val="left" w:pos="0"/>
              </w:tabs>
              <w:spacing w:beforeLines="0" w:afterLines="0" w:line="360" w:lineRule="auto"/>
              <w:ind w:firstLine="420" w:firstLineChars="200"/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  <w:t>（3）投标人的类似项目业绩符合招标文件规定，且提供了满足招标文 件要求的证明材料。</w:t>
            </w:r>
          </w:p>
          <w:p w14:paraId="76D7BC5A">
            <w:pPr>
              <w:tabs>
                <w:tab w:val="left" w:pos="0"/>
              </w:tabs>
              <w:spacing w:beforeLines="0" w:afterLines="0" w:line="360" w:lineRule="auto"/>
              <w:ind w:firstLine="420" w:firstLineChars="200"/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  <w:t>（4）投标人的信誉符合招标文件规定。</w:t>
            </w:r>
          </w:p>
          <w:p w14:paraId="4F27585A">
            <w:pPr>
              <w:tabs>
                <w:tab w:val="left" w:pos="0"/>
              </w:tabs>
              <w:spacing w:beforeLines="0" w:afterLines="0" w:line="360" w:lineRule="auto"/>
              <w:ind w:firstLine="420" w:firstLineChars="200"/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  <w:t>（5）投标人的项目负责人资格符合招标文件规定。</w:t>
            </w:r>
          </w:p>
          <w:p w14:paraId="178B0C6D">
            <w:pPr>
              <w:tabs>
                <w:tab w:val="left" w:pos="0"/>
              </w:tabs>
              <w:spacing w:beforeLines="0" w:afterLines="0" w:line="360" w:lineRule="auto"/>
              <w:ind w:firstLine="420" w:firstLineChars="200"/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  <w:t>（6）投标人不存在第二章“投标人须知 ”第 1.4.3 项或第 1.4.4 项规 定的任何一种情形。</w:t>
            </w:r>
          </w:p>
          <w:p w14:paraId="30944623">
            <w:pPr>
              <w:tabs>
                <w:tab w:val="left" w:pos="0"/>
              </w:tabs>
              <w:spacing w:beforeLines="0" w:afterLines="0" w:line="360" w:lineRule="auto"/>
              <w:ind w:firstLine="420" w:firstLineChars="200"/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  <w:t>（7）投标人不存在第二章“投标人须知 ”第 1.4.5 项规定。</w:t>
            </w:r>
          </w:p>
          <w:p w14:paraId="086D6527">
            <w:pPr>
              <w:tabs>
                <w:tab w:val="left" w:pos="0"/>
              </w:tabs>
              <w:spacing w:beforeLines="0" w:afterLines="0" w:line="360" w:lineRule="auto"/>
              <w:ind w:firstLine="420" w:firstLineChars="200"/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  <w:t>（8）与招标人存在利害关系可能影响招标公正性的法人、其他组织或 者个人，不得参加投标。单位负责人为同一人或者存在控股、管理关系的 不同单位，不得参加同一标段投标或者未划分标段的同一招标项目投标， 否则，相关投标均无效。</w:t>
            </w:r>
          </w:p>
        </w:tc>
      </w:tr>
    </w:tbl>
    <w:p w14:paraId="7840DDAB">
      <w:pPr>
        <w:sectPr>
          <w:footerReference r:id="rId5" w:type="default"/>
          <w:pgSz w:w="11900" w:h="16840"/>
          <w:pgMar w:top="852" w:right="1305" w:bottom="1041" w:left="1080" w:header="0" w:footer="854" w:gutter="0"/>
          <w:cols w:space="720" w:num="1"/>
        </w:sectPr>
      </w:pPr>
    </w:p>
    <w:p w14:paraId="0CCD2AAA">
      <w:pPr>
        <w:spacing w:line="547" w:lineRule="exact"/>
      </w:pPr>
    </w:p>
    <w:p w14:paraId="6E758C19">
      <w:pPr>
        <w:spacing w:line="40" w:lineRule="exact"/>
      </w:pPr>
    </w:p>
    <w:tbl>
      <w:tblPr>
        <w:tblStyle w:val="10"/>
        <w:tblW w:w="9284" w:type="dxa"/>
        <w:tblInd w:w="22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2"/>
        <w:gridCol w:w="1493"/>
        <w:gridCol w:w="6839"/>
      </w:tblGrid>
      <w:tr w14:paraId="4C02110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2445" w:type="dxa"/>
            <w:gridSpan w:val="2"/>
            <w:vAlign w:val="top"/>
          </w:tcPr>
          <w:p w14:paraId="1C2854DB">
            <w:pPr>
              <w:pStyle w:val="9"/>
              <w:spacing w:before="197" w:line="228" w:lineRule="auto"/>
              <w:ind w:left="914"/>
            </w:pPr>
            <w:r>
              <w:rPr>
                <w:spacing w:val="6"/>
              </w:rPr>
              <w:t>条款号</w:t>
            </w:r>
          </w:p>
        </w:tc>
        <w:tc>
          <w:tcPr>
            <w:tcW w:w="6839" w:type="dxa"/>
            <w:vAlign w:val="top"/>
          </w:tcPr>
          <w:p w14:paraId="66614F70">
            <w:pPr>
              <w:pStyle w:val="9"/>
              <w:spacing w:before="197" w:line="228" w:lineRule="auto"/>
              <w:ind w:left="2477"/>
            </w:pPr>
            <w:r>
              <w:rPr>
                <w:spacing w:val="9"/>
              </w:rPr>
              <w:t>评审因素与评审标准</w:t>
            </w:r>
          </w:p>
        </w:tc>
      </w:tr>
      <w:tr w14:paraId="46684C3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952" w:type="dxa"/>
            <w:vAlign w:val="top"/>
          </w:tcPr>
          <w:p w14:paraId="04A83297">
            <w:pPr>
              <w:pStyle w:val="9"/>
              <w:spacing w:before="193" w:line="228" w:lineRule="auto"/>
              <w:ind w:left="168"/>
            </w:pPr>
            <w:r>
              <w:rPr>
                <w:spacing w:val="6"/>
              </w:rPr>
              <w:t>条款号</w:t>
            </w:r>
          </w:p>
        </w:tc>
        <w:tc>
          <w:tcPr>
            <w:tcW w:w="1493" w:type="dxa"/>
            <w:vAlign w:val="top"/>
          </w:tcPr>
          <w:p w14:paraId="25EEE6BD">
            <w:pPr>
              <w:pStyle w:val="9"/>
              <w:spacing w:before="193" w:line="228" w:lineRule="auto"/>
              <w:ind w:left="332"/>
            </w:pPr>
            <w:r>
              <w:rPr>
                <w:spacing w:val="6"/>
              </w:rPr>
              <w:t>条款内容</w:t>
            </w:r>
          </w:p>
        </w:tc>
        <w:tc>
          <w:tcPr>
            <w:tcW w:w="6839" w:type="dxa"/>
            <w:vAlign w:val="top"/>
          </w:tcPr>
          <w:p w14:paraId="0D8734EF">
            <w:pPr>
              <w:pStyle w:val="9"/>
              <w:spacing w:before="193" w:line="228" w:lineRule="auto"/>
              <w:ind w:left="3005"/>
            </w:pPr>
            <w:r>
              <w:rPr>
                <w:spacing w:val="6"/>
              </w:rPr>
              <w:t>编列内容</w:t>
            </w:r>
          </w:p>
        </w:tc>
      </w:tr>
      <w:tr w14:paraId="55699E5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4" w:hRule="atLeast"/>
        </w:trPr>
        <w:tc>
          <w:tcPr>
            <w:tcW w:w="952" w:type="dxa"/>
            <w:vAlign w:val="top"/>
          </w:tcPr>
          <w:p w14:paraId="5DC17161">
            <w:pPr>
              <w:spacing w:line="273" w:lineRule="auto"/>
              <w:rPr>
                <w:rFonts w:ascii="Arial"/>
                <w:sz w:val="21"/>
              </w:rPr>
            </w:pPr>
          </w:p>
          <w:p w14:paraId="0C840D38">
            <w:pPr>
              <w:spacing w:line="273" w:lineRule="auto"/>
              <w:rPr>
                <w:rFonts w:ascii="Arial"/>
                <w:sz w:val="21"/>
              </w:rPr>
            </w:pPr>
          </w:p>
          <w:p w14:paraId="4D0055C3">
            <w:pPr>
              <w:spacing w:line="274" w:lineRule="auto"/>
              <w:rPr>
                <w:rFonts w:ascii="Arial"/>
                <w:sz w:val="21"/>
              </w:rPr>
            </w:pPr>
          </w:p>
          <w:p w14:paraId="1B40168C">
            <w:pPr>
              <w:spacing w:line="274" w:lineRule="auto"/>
              <w:rPr>
                <w:rFonts w:ascii="Arial"/>
                <w:sz w:val="21"/>
              </w:rPr>
            </w:pPr>
          </w:p>
          <w:p w14:paraId="6156039F">
            <w:pPr>
              <w:pStyle w:val="9"/>
              <w:spacing w:before="65" w:line="190" w:lineRule="auto"/>
              <w:ind w:left="222"/>
            </w:pPr>
            <w:r>
              <w:rPr>
                <w:spacing w:val="2"/>
              </w:rPr>
              <w:t>2.2.1</w:t>
            </w:r>
          </w:p>
        </w:tc>
        <w:tc>
          <w:tcPr>
            <w:tcW w:w="1493" w:type="dxa"/>
            <w:vAlign w:val="top"/>
          </w:tcPr>
          <w:p w14:paraId="486EC099">
            <w:pPr>
              <w:spacing w:line="294" w:lineRule="auto"/>
              <w:rPr>
                <w:rFonts w:ascii="Arial"/>
                <w:sz w:val="21"/>
              </w:rPr>
            </w:pPr>
          </w:p>
          <w:p w14:paraId="0C2BCEF6">
            <w:pPr>
              <w:spacing w:line="295" w:lineRule="auto"/>
              <w:rPr>
                <w:rFonts w:ascii="Arial"/>
                <w:sz w:val="21"/>
              </w:rPr>
            </w:pPr>
          </w:p>
          <w:p w14:paraId="00BDC15C">
            <w:pPr>
              <w:spacing w:line="295" w:lineRule="auto"/>
              <w:rPr>
                <w:rFonts w:ascii="Arial"/>
                <w:sz w:val="21"/>
              </w:rPr>
            </w:pPr>
          </w:p>
          <w:p w14:paraId="7008B003">
            <w:pPr>
              <w:pStyle w:val="9"/>
              <w:spacing w:before="65" w:line="318" w:lineRule="auto"/>
              <w:ind w:left="227" w:right="116" w:hanging="103"/>
            </w:pPr>
            <w:r>
              <w:rPr>
                <w:spacing w:val="7"/>
              </w:rPr>
              <w:t>分值构成（总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分</w:t>
            </w:r>
            <w:r>
              <w:rPr>
                <w:spacing w:val="-24"/>
              </w:rPr>
              <w:t xml:space="preserve"> </w:t>
            </w:r>
            <w:r>
              <w:rPr>
                <w:spacing w:val="-2"/>
              </w:rPr>
              <w:t>100</w:t>
            </w:r>
            <w:r>
              <w:rPr>
                <w:spacing w:val="-36"/>
              </w:rPr>
              <w:t xml:space="preserve"> </w:t>
            </w:r>
            <w:r>
              <w:rPr>
                <w:spacing w:val="-2"/>
              </w:rPr>
              <w:t>分）</w:t>
            </w:r>
          </w:p>
        </w:tc>
        <w:tc>
          <w:tcPr>
            <w:tcW w:w="6839" w:type="dxa"/>
            <w:vAlign w:val="top"/>
          </w:tcPr>
          <w:p w14:paraId="7FD3E1B6">
            <w:pPr>
              <w:spacing w:before="163" w:line="229" w:lineRule="auto"/>
              <w:ind w:left="112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b/>
                <w:bCs/>
                <w:spacing w:val="7"/>
                <w:sz w:val="20"/>
                <w:szCs w:val="20"/>
              </w:rPr>
              <w:t>第一个信封（商务及技术文件）评分分值构成：</w:t>
            </w:r>
          </w:p>
          <w:p w14:paraId="146FD2E7">
            <w:pPr>
              <w:pStyle w:val="9"/>
              <w:spacing w:before="70" w:line="227" w:lineRule="auto"/>
              <w:ind w:left="112"/>
            </w:pPr>
            <w:r>
              <w:rPr>
                <w:spacing w:val="6"/>
              </w:rPr>
              <w:t>技术建议书：45</w:t>
            </w:r>
            <w:r>
              <w:rPr>
                <w:spacing w:val="-32"/>
              </w:rPr>
              <w:t xml:space="preserve"> </w:t>
            </w:r>
            <w:r>
              <w:rPr>
                <w:spacing w:val="6"/>
              </w:rPr>
              <w:t>分</w:t>
            </w:r>
          </w:p>
          <w:p w14:paraId="2232319C">
            <w:pPr>
              <w:pStyle w:val="9"/>
              <w:spacing w:before="73" w:line="228" w:lineRule="auto"/>
              <w:ind w:left="113"/>
            </w:pPr>
            <w:r>
              <w:rPr>
                <w:spacing w:val="6"/>
              </w:rPr>
              <w:t>主要人员：25</w:t>
            </w:r>
            <w:r>
              <w:rPr>
                <w:spacing w:val="-36"/>
              </w:rPr>
              <w:t xml:space="preserve"> </w:t>
            </w:r>
            <w:r>
              <w:rPr>
                <w:spacing w:val="6"/>
              </w:rPr>
              <w:t>分</w:t>
            </w:r>
          </w:p>
          <w:p w14:paraId="52120E87">
            <w:pPr>
              <w:pStyle w:val="9"/>
              <w:spacing w:before="74" w:line="228" w:lineRule="auto"/>
              <w:ind w:left="111"/>
            </w:pPr>
            <w:r>
              <w:rPr>
                <w:spacing w:val="3"/>
              </w:rPr>
              <w:t>业</w:t>
            </w:r>
            <w:r>
              <w:rPr>
                <w:spacing w:val="8"/>
              </w:rPr>
              <w:t xml:space="preserve">    </w:t>
            </w:r>
            <w:r>
              <w:rPr>
                <w:spacing w:val="3"/>
              </w:rPr>
              <w:t>绩：10</w:t>
            </w:r>
            <w:r>
              <w:rPr>
                <w:spacing w:val="-35"/>
              </w:rPr>
              <w:t xml:space="preserve"> </w:t>
            </w:r>
            <w:r>
              <w:rPr>
                <w:spacing w:val="3"/>
              </w:rPr>
              <w:t>分</w:t>
            </w:r>
          </w:p>
          <w:p w14:paraId="70028653">
            <w:pPr>
              <w:pStyle w:val="9"/>
              <w:spacing w:before="71" w:line="227" w:lineRule="auto"/>
              <w:ind w:left="115"/>
            </w:pPr>
            <w:r>
              <w:rPr>
                <w:spacing w:val="6"/>
              </w:rPr>
              <w:t>履约信誉：10</w:t>
            </w:r>
            <w:r>
              <w:rPr>
                <w:spacing w:val="-38"/>
              </w:rPr>
              <w:t xml:space="preserve"> </w:t>
            </w:r>
            <w:r>
              <w:rPr>
                <w:spacing w:val="6"/>
              </w:rPr>
              <w:t>分</w:t>
            </w:r>
          </w:p>
          <w:p w14:paraId="09BD5361">
            <w:pPr>
              <w:spacing w:before="74" w:line="230" w:lineRule="auto"/>
              <w:ind w:left="112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b/>
                <w:bCs/>
                <w:spacing w:val="7"/>
                <w:sz w:val="20"/>
                <w:szCs w:val="20"/>
              </w:rPr>
              <w:t>第二个信封（报价文件）评分分值构成：</w:t>
            </w:r>
          </w:p>
          <w:p w14:paraId="623C59B3">
            <w:pPr>
              <w:pStyle w:val="9"/>
              <w:spacing w:before="72" w:line="226" w:lineRule="auto"/>
              <w:ind w:left="111"/>
            </w:pPr>
            <w:r>
              <w:rPr>
                <w:spacing w:val="6"/>
              </w:rPr>
              <w:t>评标价：10</w:t>
            </w:r>
            <w:r>
              <w:rPr>
                <w:spacing w:val="-38"/>
              </w:rPr>
              <w:t xml:space="preserve"> </w:t>
            </w:r>
            <w:r>
              <w:rPr>
                <w:spacing w:val="6"/>
              </w:rPr>
              <w:t>分</w:t>
            </w:r>
          </w:p>
        </w:tc>
      </w:tr>
      <w:tr w14:paraId="237D630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2" w:hRule="atLeast"/>
        </w:trPr>
        <w:tc>
          <w:tcPr>
            <w:tcW w:w="952" w:type="dxa"/>
            <w:vAlign w:val="top"/>
          </w:tcPr>
          <w:p w14:paraId="2A9A45CB">
            <w:pPr>
              <w:spacing w:line="248" w:lineRule="auto"/>
              <w:rPr>
                <w:rFonts w:ascii="Arial"/>
                <w:sz w:val="21"/>
              </w:rPr>
            </w:pPr>
          </w:p>
          <w:p w14:paraId="7C195065">
            <w:pPr>
              <w:spacing w:line="248" w:lineRule="auto"/>
              <w:rPr>
                <w:rFonts w:ascii="Arial"/>
                <w:sz w:val="21"/>
              </w:rPr>
            </w:pPr>
          </w:p>
          <w:p w14:paraId="5C7B929B">
            <w:pPr>
              <w:spacing w:line="248" w:lineRule="auto"/>
              <w:rPr>
                <w:rFonts w:ascii="Arial"/>
                <w:sz w:val="21"/>
              </w:rPr>
            </w:pPr>
          </w:p>
          <w:p w14:paraId="36F6FCDB">
            <w:pPr>
              <w:spacing w:line="248" w:lineRule="auto"/>
              <w:rPr>
                <w:rFonts w:ascii="Arial"/>
                <w:sz w:val="21"/>
              </w:rPr>
            </w:pPr>
          </w:p>
          <w:p w14:paraId="6F59573B">
            <w:pPr>
              <w:spacing w:line="249" w:lineRule="auto"/>
              <w:rPr>
                <w:rFonts w:ascii="Arial"/>
                <w:sz w:val="21"/>
              </w:rPr>
            </w:pPr>
          </w:p>
          <w:p w14:paraId="1E28C7A3">
            <w:pPr>
              <w:spacing w:line="249" w:lineRule="auto"/>
              <w:rPr>
                <w:rFonts w:ascii="Arial"/>
                <w:sz w:val="21"/>
              </w:rPr>
            </w:pPr>
          </w:p>
          <w:p w14:paraId="0110CAF1">
            <w:pPr>
              <w:spacing w:line="249" w:lineRule="auto"/>
              <w:rPr>
                <w:rFonts w:ascii="Arial"/>
                <w:sz w:val="21"/>
              </w:rPr>
            </w:pPr>
          </w:p>
          <w:p w14:paraId="570E6DCA">
            <w:pPr>
              <w:spacing w:line="249" w:lineRule="auto"/>
              <w:rPr>
                <w:rFonts w:ascii="Arial"/>
                <w:sz w:val="21"/>
              </w:rPr>
            </w:pPr>
          </w:p>
          <w:p w14:paraId="0D0E5C60">
            <w:pPr>
              <w:spacing w:line="249" w:lineRule="auto"/>
              <w:rPr>
                <w:rFonts w:ascii="Arial"/>
                <w:sz w:val="21"/>
              </w:rPr>
            </w:pPr>
          </w:p>
          <w:p w14:paraId="7DB5041C">
            <w:pPr>
              <w:spacing w:line="249" w:lineRule="auto"/>
              <w:rPr>
                <w:rFonts w:ascii="Arial"/>
                <w:sz w:val="21"/>
              </w:rPr>
            </w:pPr>
          </w:p>
          <w:p w14:paraId="3751341E">
            <w:pPr>
              <w:pStyle w:val="9"/>
              <w:spacing w:before="65" w:line="189" w:lineRule="auto"/>
              <w:ind w:left="222"/>
            </w:pPr>
            <w:r>
              <w:rPr>
                <w:spacing w:val="2"/>
              </w:rPr>
              <w:t>2.2.2</w:t>
            </w:r>
          </w:p>
        </w:tc>
        <w:tc>
          <w:tcPr>
            <w:tcW w:w="1493" w:type="dxa"/>
            <w:vAlign w:val="top"/>
          </w:tcPr>
          <w:p w14:paraId="5C8D3C9C">
            <w:pPr>
              <w:spacing w:line="252" w:lineRule="auto"/>
              <w:rPr>
                <w:rFonts w:ascii="Arial"/>
                <w:sz w:val="21"/>
              </w:rPr>
            </w:pPr>
          </w:p>
          <w:p w14:paraId="2F2C2F8A">
            <w:pPr>
              <w:spacing w:line="252" w:lineRule="auto"/>
              <w:rPr>
                <w:rFonts w:ascii="Arial"/>
                <w:sz w:val="21"/>
              </w:rPr>
            </w:pPr>
          </w:p>
          <w:p w14:paraId="38C1A764">
            <w:pPr>
              <w:spacing w:line="252" w:lineRule="auto"/>
              <w:rPr>
                <w:rFonts w:ascii="Arial"/>
                <w:sz w:val="21"/>
              </w:rPr>
            </w:pPr>
          </w:p>
          <w:p w14:paraId="07DB84D6">
            <w:pPr>
              <w:spacing w:line="253" w:lineRule="auto"/>
              <w:rPr>
                <w:rFonts w:ascii="Arial"/>
                <w:sz w:val="21"/>
              </w:rPr>
            </w:pPr>
          </w:p>
          <w:p w14:paraId="7B606D1F">
            <w:pPr>
              <w:spacing w:line="253" w:lineRule="auto"/>
              <w:rPr>
                <w:rFonts w:ascii="Arial"/>
                <w:sz w:val="21"/>
              </w:rPr>
            </w:pPr>
          </w:p>
          <w:p w14:paraId="14B4E6EF">
            <w:pPr>
              <w:spacing w:line="253" w:lineRule="auto"/>
              <w:rPr>
                <w:rFonts w:ascii="Arial"/>
                <w:sz w:val="21"/>
              </w:rPr>
            </w:pPr>
          </w:p>
          <w:p w14:paraId="35AF366F">
            <w:pPr>
              <w:spacing w:line="253" w:lineRule="auto"/>
              <w:rPr>
                <w:rFonts w:ascii="Arial"/>
                <w:sz w:val="21"/>
              </w:rPr>
            </w:pPr>
          </w:p>
          <w:p w14:paraId="6C0536FE">
            <w:pPr>
              <w:spacing w:line="253" w:lineRule="auto"/>
              <w:rPr>
                <w:rFonts w:ascii="Arial"/>
                <w:sz w:val="21"/>
              </w:rPr>
            </w:pPr>
          </w:p>
          <w:p w14:paraId="507251E7">
            <w:pPr>
              <w:spacing w:line="253" w:lineRule="auto"/>
              <w:rPr>
                <w:rFonts w:ascii="Arial"/>
                <w:sz w:val="21"/>
              </w:rPr>
            </w:pPr>
          </w:p>
          <w:p w14:paraId="0B8549AF">
            <w:pPr>
              <w:pStyle w:val="9"/>
              <w:spacing w:before="65" w:line="318" w:lineRule="auto"/>
              <w:ind w:left="330" w:right="222" w:hanging="106"/>
            </w:pPr>
            <w:r>
              <w:rPr>
                <w:spacing w:val="8"/>
              </w:rPr>
              <w:t>评标基准价</w:t>
            </w:r>
            <w:r>
              <w:t xml:space="preserve"> </w:t>
            </w:r>
            <w:r>
              <w:rPr>
                <w:spacing w:val="7"/>
              </w:rPr>
              <w:t>计算方法</w:t>
            </w:r>
          </w:p>
        </w:tc>
        <w:tc>
          <w:tcPr>
            <w:tcW w:w="6839" w:type="dxa"/>
            <w:vAlign w:val="top"/>
          </w:tcPr>
          <w:p w14:paraId="09AF8BE8">
            <w:pPr>
              <w:spacing w:before="194" w:line="230" w:lineRule="auto"/>
              <w:ind w:left="11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b/>
                <w:bCs/>
                <w:spacing w:val="6"/>
                <w:sz w:val="20"/>
                <w:szCs w:val="20"/>
              </w:rPr>
              <w:t>评标基准价的计算：</w:t>
            </w:r>
          </w:p>
          <w:p w14:paraId="5D300AF7">
            <w:pPr>
              <w:pStyle w:val="9"/>
              <w:spacing w:before="111" w:line="226" w:lineRule="auto"/>
              <w:ind w:left="644"/>
            </w:pPr>
            <w:r>
              <w:rPr>
                <w:spacing w:val="9"/>
              </w:rPr>
              <w:t>在开标现场，招标人将当场计算并宣布评标基准价。</w:t>
            </w:r>
          </w:p>
          <w:p w14:paraId="6E0E1FB7">
            <w:pPr>
              <w:pStyle w:val="9"/>
              <w:spacing w:before="115" w:line="226" w:lineRule="auto"/>
              <w:ind w:left="551"/>
            </w:pPr>
            <w:r>
              <w:rPr>
                <w:spacing w:val="6"/>
              </w:rPr>
              <w:t>（1）评标价的确定：</w:t>
            </w:r>
          </w:p>
          <w:p w14:paraId="12DE9874">
            <w:pPr>
              <w:pStyle w:val="9"/>
              <w:spacing w:before="114" w:line="317" w:lineRule="auto"/>
              <w:ind w:left="551" w:right="3729" w:firstLine="92"/>
            </w:pPr>
            <w:r>
              <w:rPr>
                <w:spacing w:val="8"/>
              </w:rPr>
              <w:t>评标价=投标函文字报价</w:t>
            </w:r>
            <w:r>
              <w:rPr>
                <w:spacing w:val="3"/>
              </w:rPr>
              <w:t xml:space="preserve">   </w:t>
            </w:r>
            <w:r>
              <w:rPr>
                <w:spacing w:val="4"/>
              </w:rPr>
              <w:t>（2）评标价平均值的计算：</w:t>
            </w:r>
          </w:p>
          <w:p w14:paraId="0AF22886">
            <w:pPr>
              <w:pStyle w:val="9"/>
              <w:spacing w:before="35" w:line="326" w:lineRule="auto"/>
              <w:ind w:left="80" w:right="221" w:firstLine="433"/>
              <w:jc w:val="both"/>
            </w:pPr>
            <w:r>
              <w:rPr>
                <w:spacing w:val="7"/>
              </w:rPr>
              <w:t>除按第二章“投标人须知</w:t>
            </w:r>
            <w:r>
              <w:rPr>
                <w:spacing w:val="-52"/>
              </w:rPr>
              <w:t xml:space="preserve"> </w:t>
            </w:r>
            <w:r>
              <w:rPr>
                <w:spacing w:val="7"/>
              </w:rPr>
              <w:t>”第</w:t>
            </w:r>
            <w:r>
              <w:rPr>
                <w:spacing w:val="-32"/>
              </w:rPr>
              <w:t xml:space="preserve"> </w:t>
            </w:r>
            <w:r>
              <w:rPr>
                <w:spacing w:val="7"/>
              </w:rPr>
              <w:t>5.2.4</w:t>
            </w:r>
            <w:r>
              <w:rPr>
                <w:spacing w:val="-35"/>
              </w:rPr>
              <w:t xml:space="preserve"> </w:t>
            </w:r>
            <w:r>
              <w:rPr>
                <w:spacing w:val="7"/>
              </w:rPr>
              <w:t>项规定开标现场被宣布为不进</w:t>
            </w:r>
            <w:r>
              <w:t xml:space="preserve"> </w:t>
            </w:r>
            <w:r>
              <w:rPr>
                <w:spacing w:val="11"/>
              </w:rPr>
              <w:t>入评标基准价计算的投标报价之外，所有投标人</w:t>
            </w:r>
            <w:r>
              <w:rPr>
                <w:spacing w:val="10"/>
              </w:rPr>
              <w:t>的评标价去掉一个最高</w:t>
            </w:r>
            <w:r>
              <w:t xml:space="preserve"> </w:t>
            </w:r>
            <w:r>
              <w:rPr>
                <w:spacing w:val="11"/>
              </w:rPr>
              <w:t>值和一个最低值后的算术平均值即为评标价平均</w:t>
            </w:r>
            <w:r>
              <w:rPr>
                <w:spacing w:val="10"/>
              </w:rPr>
              <w:t>值（如果参与评标价平</w:t>
            </w:r>
            <w:r>
              <w:t xml:space="preserve"> </w:t>
            </w:r>
            <w:r>
              <w:rPr>
                <w:spacing w:val="10"/>
              </w:rPr>
              <w:t>均值计算的有效投标人少于</w:t>
            </w:r>
            <w:r>
              <w:rPr>
                <w:spacing w:val="-33"/>
              </w:rPr>
              <w:t xml:space="preserve"> </w:t>
            </w:r>
            <w:r>
              <w:rPr>
                <w:spacing w:val="10"/>
              </w:rPr>
              <w:t>5</w:t>
            </w:r>
            <w:r>
              <w:rPr>
                <w:spacing w:val="-36"/>
              </w:rPr>
              <w:t xml:space="preserve"> </w:t>
            </w:r>
            <w:r>
              <w:rPr>
                <w:spacing w:val="10"/>
              </w:rPr>
              <w:t>家时，则计算评标</w:t>
            </w:r>
            <w:r>
              <w:rPr>
                <w:spacing w:val="9"/>
              </w:rPr>
              <w:t>价平均值时不去掉最高</w:t>
            </w:r>
            <w:r>
              <w:t xml:space="preserve"> </w:t>
            </w:r>
            <w:r>
              <w:rPr>
                <w:spacing w:val="5"/>
              </w:rPr>
              <w:t>值和最低值）。</w:t>
            </w:r>
          </w:p>
          <w:p w14:paraId="394C19B5">
            <w:pPr>
              <w:pStyle w:val="9"/>
              <w:spacing w:before="31" w:line="226" w:lineRule="auto"/>
              <w:ind w:left="551"/>
            </w:pPr>
            <w:r>
              <w:rPr>
                <w:spacing w:val="9"/>
              </w:rPr>
              <w:t>（3）评标基准价的确定：将评标价平均值直</w:t>
            </w:r>
            <w:r>
              <w:rPr>
                <w:spacing w:val="8"/>
              </w:rPr>
              <w:t>接作为评标基准价。</w:t>
            </w:r>
          </w:p>
          <w:p w14:paraId="56669D1C">
            <w:pPr>
              <w:pStyle w:val="9"/>
              <w:spacing w:before="116" w:line="322" w:lineRule="auto"/>
              <w:ind w:left="111" w:right="60" w:firstLine="420"/>
              <w:jc w:val="both"/>
            </w:pPr>
            <w:r>
              <w:rPr>
                <w:spacing w:val="8"/>
              </w:rPr>
              <w:t>在评标过程中，评标委员会应对招标人计算的评标基准价进行复核，</w:t>
            </w:r>
            <w:r>
              <w:t xml:space="preserve"> </w:t>
            </w:r>
            <w:r>
              <w:rPr>
                <w:spacing w:val="7"/>
              </w:rPr>
              <w:t>存在计算错误的应予以修正并在评标报告中作出</w:t>
            </w:r>
            <w:r>
              <w:rPr>
                <w:spacing w:val="6"/>
              </w:rPr>
              <w:t>说明。除此之外，评标基</w:t>
            </w:r>
            <w:r>
              <w:t xml:space="preserve"> </w:t>
            </w:r>
            <w:r>
              <w:rPr>
                <w:spacing w:val="9"/>
              </w:rPr>
              <w:t>准价在整个评标期间保持不变，不随任何因素发生变化。</w:t>
            </w:r>
          </w:p>
        </w:tc>
      </w:tr>
      <w:tr w14:paraId="63C011E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9" w:hRule="atLeast"/>
        </w:trPr>
        <w:tc>
          <w:tcPr>
            <w:tcW w:w="952" w:type="dxa"/>
            <w:vAlign w:val="top"/>
          </w:tcPr>
          <w:p w14:paraId="0735EC6F">
            <w:pPr>
              <w:spacing w:line="343" w:lineRule="auto"/>
              <w:rPr>
                <w:rFonts w:ascii="Arial"/>
                <w:sz w:val="21"/>
              </w:rPr>
            </w:pPr>
          </w:p>
          <w:p w14:paraId="63892E89">
            <w:pPr>
              <w:pStyle w:val="9"/>
              <w:spacing w:before="65" w:line="189" w:lineRule="auto"/>
              <w:ind w:left="222"/>
            </w:pPr>
            <w:r>
              <w:rPr>
                <w:spacing w:val="2"/>
              </w:rPr>
              <w:t>2.2.3</w:t>
            </w:r>
          </w:p>
        </w:tc>
        <w:tc>
          <w:tcPr>
            <w:tcW w:w="1493" w:type="dxa"/>
            <w:vAlign w:val="top"/>
          </w:tcPr>
          <w:p w14:paraId="6131661F">
            <w:pPr>
              <w:pStyle w:val="9"/>
              <w:spacing w:before="196" w:line="318" w:lineRule="auto"/>
              <w:ind w:left="330" w:right="116" w:hanging="209"/>
            </w:pPr>
            <w:r>
              <w:rPr>
                <w:spacing w:val="8"/>
              </w:rPr>
              <w:t>评标价偏差率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计算公式</w:t>
            </w:r>
          </w:p>
        </w:tc>
        <w:tc>
          <w:tcPr>
            <w:tcW w:w="6839" w:type="dxa"/>
            <w:vAlign w:val="top"/>
          </w:tcPr>
          <w:p w14:paraId="5215A628">
            <w:pPr>
              <w:pStyle w:val="9"/>
              <w:spacing w:before="196" w:line="318" w:lineRule="auto"/>
              <w:ind w:left="112" w:right="1375"/>
            </w:pPr>
            <w:r>
              <w:rPr>
                <w:spacing w:val="8"/>
              </w:rPr>
              <w:t>偏差率=100%×（投标人评标价-评标基准价）/评标基准价</w:t>
            </w:r>
            <w:r>
              <w:rPr>
                <w:spacing w:val="13"/>
              </w:rPr>
              <w:t xml:space="preserve"> </w:t>
            </w:r>
            <w:r>
              <w:rPr>
                <w:spacing w:val="6"/>
              </w:rPr>
              <w:t>偏差率保留</w:t>
            </w:r>
            <w:r>
              <w:rPr>
                <w:spacing w:val="-37"/>
              </w:rPr>
              <w:t xml:space="preserve"> </w:t>
            </w:r>
            <w:r>
              <w:rPr>
                <w:spacing w:val="6"/>
              </w:rPr>
              <w:t>2</w:t>
            </w:r>
            <w:r>
              <w:rPr>
                <w:spacing w:val="-38"/>
              </w:rPr>
              <w:t xml:space="preserve"> </w:t>
            </w:r>
            <w:r>
              <w:rPr>
                <w:spacing w:val="6"/>
              </w:rPr>
              <w:t>位小数</w:t>
            </w:r>
          </w:p>
        </w:tc>
      </w:tr>
    </w:tbl>
    <w:p w14:paraId="7E52C0BA">
      <w:pPr>
        <w:pStyle w:val="4"/>
      </w:pPr>
    </w:p>
    <w:p w14:paraId="641411CC">
      <w:pPr>
        <w:sectPr>
          <w:footerReference r:id="rId6" w:type="default"/>
          <w:pgSz w:w="11900" w:h="16840"/>
          <w:pgMar w:top="852" w:right="1305" w:bottom="1041" w:left="1080" w:header="0" w:footer="854" w:gutter="0"/>
          <w:cols w:space="720" w:num="1"/>
        </w:sectPr>
      </w:pPr>
    </w:p>
    <w:p w14:paraId="43117868">
      <w:pPr>
        <w:spacing w:line="547" w:lineRule="exact"/>
      </w:pPr>
    </w:p>
    <w:p w14:paraId="3C96DD1D">
      <w:pPr>
        <w:spacing w:line="40" w:lineRule="exact"/>
      </w:pPr>
    </w:p>
    <w:tbl>
      <w:tblPr>
        <w:tblStyle w:val="10"/>
        <w:tblW w:w="9585" w:type="dxa"/>
        <w:tblInd w:w="76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3"/>
        <w:gridCol w:w="1275"/>
        <w:gridCol w:w="936"/>
        <w:gridCol w:w="1594"/>
        <w:gridCol w:w="851"/>
        <w:gridCol w:w="3796"/>
      </w:tblGrid>
      <w:tr w14:paraId="7DECB70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5789" w:type="dxa"/>
            <w:gridSpan w:val="5"/>
            <w:vAlign w:val="top"/>
          </w:tcPr>
          <w:p w14:paraId="1545CD62">
            <w:pPr>
              <w:pStyle w:val="9"/>
              <w:spacing w:before="120" w:line="264" w:lineRule="exact"/>
              <w:ind w:left="1903"/>
              <w:rPr>
                <w:sz w:val="10"/>
                <w:szCs w:val="10"/>
              </w:rPr>
            </w:pPr>
            <w:r>
              <w:rPr>
                <w:spacing w:val="8"/>
              </w:rPr>
              <w:t>评分因素与权重分值</w:t>
            </w:r>
            <w:r>
              <w:fldChar w:fldCharType="begin"/>
            </w:r>
            <w:r>
              <w:instrText xml:space="preserve"> HYPERLINK \l "bookmark87" </w:instrText>
            </w:r>
            <w:r>
              <w:fldChar w:fldCharType="separate"/>
            </w:r>
            <w:r>
              <w:rPr>
                <w:spacing w:val="8"/>
                <w:position w:val="10"/>
                <w:sz w:val="10"/>
                <w:szCs w:val="10"/>
              </w:rPr>
              <w:t>①</w:t>
            </w:r>
            <w:r>
              <w:rPr>
                <w:spacing w:val="8"/>
                <w:position w:val="10"/>
                <w:sz w:val="10"/>
                <w:szCs w:val="10"/>
              </w:rPr>
              <w:fldChar w:fldCharType="end"/>
            </w:r>
          </w:p>
        </w:tc>
        <w:tc>
          <w:tcPr>
            <w:tcW w:w="3796" w:type="dxa"/>
            <w:vMerge w:val="restart"/>
            <w:tcBorders>
              <w:bottom w:val="nil"/>
            </w:tcBorders>
            <w:vAlign w:val="top"/>
          </w:tcPr>
          <w:p w14:paraId="1A513896">
            <w:pPr>
              <w:spacing w:line="306" w:lineRule="auto"/>
              <w:rPr>
                <w:rFonts w:ascii="Arial"/>
                <w:sz w:val="21"/>
              </w:rPr>
            </w:pPr>
          </w:p>
          <w:p w14:paraId="3EEEEA15">
            <w:pPr>
              <w:spacing w:line="306" w:lineRule="auto"/>
              <w:rPr>
                <w:rFonts w:ascii="Arial"/>
                <w:sz w:val="21"/>
              </w:rPr>
            </w:pPr>
          </w:p>
          <w:p w14:paraId="109F281B">
            <w:pPr>
              <w:pStyle w:val="9"/>
              <w:spacing w:before="65" w:line="228" w:lineRule="auto"/>
              <w:ind w:left="1483"/>
            </w:pPr>
            <w:r>
              <w:rPr>
                <w:spacing w:val="7"/>
              </w:rPr>
              <w:t>评分标准</w:t>
            </w:r>
          </w:p>
        </w:tc>
      </w:tr>
      <w:tr w14:paraId="07CAE2B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9" w:hRule="atLeast"/>
        </w:trPr>
        <w:tc>
          <w:tcPr>
            <w:tcW w:w="1133" w:type="dxa"/>
            <w:vAlign w:val="top"/>
          </w:tcPr>
          <w:p w14:paraId="7558A05B">
            <w:pPr>
              <w:spacing w:line="384" w:lineRule="auto"/>
              <w:rPr>
                <w:rFonts w:ascii="Arial"/>
                <w:sz w:val="21"/>
              </w:rPr>
            </w:pPr>
          </w:p>
          <w:p w14:paraId="2624AFD2">
            <w:pPr>
              <w:pStyle w:val="9"/>
              <w:spacing w:before="65" w:line="228" w:lineRule="auto"/>
              <w:ind w:left="259"/>
            </w:pPr>
            <w:r>
              <w:rPr>
                <w:spacing w:val="6"/>
              </w:rPr>
              <w:t>条款号</w:t>
            </w:r>
          </w:p>
        </w:tc>
        <w:tc>
          <w:tcPr>
            <w:tcW w:w="1275" w:type="dxa"/>
            <w:vAlign w:val="top"/>
          </w:tcPr>
          <w:p w14:paraId="53080F00">
            <w:pPr>
              <w:spacing w:line="384" w:lineRule="auto"/>
              <w:rPr>
                <w:rFonts w:ascii="Arial"/>
                <w:sz w:val="21"/>
              </w:rPr>
            </w:pPr>
          </w:p>
          <w:p w14:paraId="0BBC51ED">
            <w:pPr>
              <w:pStyle w:val="9"/>
              <w:spacing w:before="65" w:line="228" w:lineRule="auto"/>
              <w:ind w:left="220"/>
            </w:pPr>
            <w:r>
              <w:rPr>
                <w:spacing w:val="7"/>
              </w:rPr>
              <w:t>评分因素</w:t>
            </w:r>
          </w:p>
        </w:tc>
        <w:tc>
          <w:tcPr>
            <w:tcW w:w="936" w:type="dxa"/>
            <w:vAlign w:val="top"/>
          </w:tcPr>
          <w:p w14:paraId="4777C3EF">
            <w:pPr>
              <w:pStyle w:val="9"/>
              <w:spacing w:before="133" w:line="228" w:lineRule="auto"/>
              <w:ind w:left="157"/>
            </w:pPr>
            <w:r>
              <w:rPr>
                <w:spacing w:val="7"/>
              </w:rPr>
              <w:t>评分因</w:t>
            </w:r>
          </w:p>
          <w:p w14:paraId="72AE8420">
            <w:pPr>
              <w:pStyle w:val="9"/>
              <w:spacing w:before="71" w:line="228" w:lineRule="auto"/>
              <w:ind w:left="161"/>
            </w:pPr>
            <w:r>
              <w:rPr>
                <w:spacing w:val="6"/>
              </w:rPr>
              <w:t>素权重</w:t>
            </w:r>
          </w:p>
          <w:p w14:paraId="7DE3F622">
            <w:pPr>
              <w:pStyle w:val="9"/>
              <w:spacing w:before="74" w:line="228" w:lineRule="auto"/>
              <w:ind w:left="264"/>
            </w:pPr>
            <w:r>
              <w:rPr>
                <w:spacing w:val="3"/>
              </w:rPr>
              <w:t>分值</w:t>
            </w:r>
          </w:p>
        </w:tc>
        <w:tc>
          <w:tcPr>
            <w:tcW w:w="1594" w:type="dxa"/>
            <w:vAlign w:val="top"/>
          </w:tcPr>
          <w:p w14:paraId="3BBB5D9F">
            <w:pPr>
              <w:pStyle w:val="9"/>
              <w:spacing w:before="294" w:line="280" w:lineRule="auto"/>
              <w:ind w:left="595" w:right="166" w:hanging="420"/>
            </w:pPr>
            <w:r>
              <w:rPr>
                <w:spacing w:val="7"/>
              </w:rPr>
              <w:t>各评分因素细</w:t>
            </w:r>
            <w:r>
              <w:rPr>
                <w:spacing w:val="4"/>
              </w:rPr>
              <w:t xml:space="preserve"> </w:t>
            </w:r>
            <w:r>
              <w:rPr>
                <w:spacing w:val="3"/>
              </w:rPr>
              <w:t>分项</w:t>
            </w:r>
          </w:p>
        </w:tc>
        <w:tc>
          <w:tcPr>
            <w:tcW w:w="851" w:type="dxa"/>
            <w:vAlign w:val="top"/>
          </w:tcPr>
          <w:p w14:paraId="203B8F15">
            <w:pPr>
              <w:spacing w:line="384" w:lineRule="auto"/>
              <w:rPr>
                <w:rFonts w:ascii="Arial"/>
                <w:sz w:val="21"/>
              </w:rPr>
            </w:pPr>
          </w:p>
          <w:p w14:paraId="2798E21A">
            <w:pPr>
              <w:pStyle w:val="9"/>
              <w:spacing w:before="65" w:line="228" w:lineRule="auto"/>
              <w:ind w:left="225"/>
            </w:pPr>
            <w:r>
              <w:rPr>
                <w:spacing w:val="3"/>
              </w:rPr>
              <w:t>分值</w:t>
            </w:r>
          </w:p>
        </w:tc>
        <w:tc>
          <w:tcPr>
            <w:tcW w:w="3796" w:type="dxa"/>
            <w:vMerge w:val="continue"/>
            <w:tcBorders>
              <w:top w:val="nil"/>
            </w:tcBorders>
            <w:vAlign w:val="top"/>
          </w:tcPr>
          <w:p w14:paraId="165B8B91">
            <w:pPr>
              <w:rPr>
                <w:rFonts w:ascii="Arial"/>
                <w:sz w:val="21"/>
              </w:rPr>
            </w:pPr>
          </w:p>
        </w:tc>
      </w:tr>
      <w:tr w14:paraId="14E3C12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8" w:hRule="atLeast"/>
        </w:trPr>
        <w:tc>
          <w:tcPr>
            <w:tcW w:w="1133" w:type="dxa"/>
            <w:vMerge w:val="restart"/>
            <w:tcBorders>
              <w:bottom w:val="nil"/>
            </w:tcBorders>
            <w:vAlign w:val="top"/>
          </w:tcPr>
          <w:p w14:paraId="62D3E1C9">
            <w:pPr>
              <w:spacing w:line="246" w:lineRule="auto"/>
              <w:rPr>
                <w:rFonts w:ascii="Arial"/>
                <w:sz w:val="21"/>
                <w:highlight w:val="none"/>
              </w:rPr>
            </w:pPr>
          </w:p>
          <w:p w14:paraId="71D536FB">
            <w:pPr>
              <w:spacing w:line="246" w:lineRule="auto"/>
              <w:rPr>
                <w:rFonts w:ascii="Arial"/>
                <w:sz w:val="21"/>
                <w:highlight w:val="none"/>
              </w:rPr>
            </w:pPr>
          </w:p>
          <w:p w14:paraId="6894EFEB">
            <w:pPr>
              <w:spacing w:line="246" w:lineRule="auto"/>
              <w:rPr>
                <w:rFonts w:ascii="Arial"/>
                <w:sz w:val="21"/>
                <w:highlight w:val="none"/>
              </w:rPr>
            </w:pPr>
          </w:p>
          <w:p w14:paraId="2946200C">
            <w:pPr>
              <w:spacing w:line="246" w:lineRule="auto"/>
              <w:rPr>
                <w:rFonts w:ascii="Arial"/>
                <w:sz w:val="21"/>
                <w:highlight w:val="none"/>
              </w:rPr>
            </w:pPr>
          </w:p>
          <w:p w14:paraId="3A7046A4">
            <w:pPr>
              <w:spacing w:line="246" w:lineRule="auto"/>
              <w:rPr>
                <w:rFonts w:ascii="Arial"/>
                <w:sz w:val="21"/>
                <w:highlight w:val="none"/>
              </w:rPr>
            </w:pPr>
          </w:p>
          <w:p w14:paraId="4CE55AFC">
            <w:pPr>
              <w:spacing w:line="246" w:lineRule="auto"/>
              <w:rPr>
                <w:rFonts w:ascii="Arial"/>
                <w:sz w:val="21"/>
                <w:highlight w:val="none"/>
              </w:rPr>
            </w:pPr>
          </w:p>
          <w:p w14:paraId="0B49A831">
            <w:pPr>
              <w:spacing w:line="246" w:lineRule="auto"/>
              <w:rPr>
                <w:rFonts w:ascii="Arial"/>
                <w:sz w:val="21"/>
                <w:highlight w:val="none"/>
              </w:rPr>
            </w:pPr>
          </w:p>
          <w:p w14:paraId="3D453ABD">
            <w:pPr>
              <w:spacing w:line="246" w:lineRule="auto"/>
              <w:rPr>
                <w:rFonts w:ascii="Arial"/>
                <w:sz w:val="21"/>
                <w:highlight w:val="none"/>
              </w:rPr>
            </w:pPr>
          </w:p>
          <w:p w14:paraId="47821792">
            <w:pPr>
              <w:spacing w:line="247" w:lineRule="auto"/>
              <w:rPr>
                <w:rFonts w:ascii="Arial"/>
                <w:sz w:val="21"/>
                <w:highlight w:val="none"/>
              </w:rPr>
            </w:pPr>
          </w:p>
          <w:p w14:paraId="1872AFE5">
            <w:pPr>
              <w:spacing w:line="247" w:lineRule="auto"/>
              <w:rPr>
                <w:rFonts w:ascii="Arial"/>
                <w:sz w:val="21"/>
                <w:highlight w:val="none"/>
              </w:rPr>
            </w:pPr>
          </w:p>
          <w:p w14:paraId="77DE13BF">
            <w:pPr>
              <w:spacing w:line="247" w:lineRule="auto"/>
              <w:rPr>
                <w:rFonts w:ascii="Arial"/>
                <w:sz w:val="21"/>
                <w:highlight w:val="none"/>
              </w:rPr>
            </w:pPr>
          </w:p>
          <w:p w14:paraId="59C34627">
            <w:pPr>
              <w:spacing w:line="247" w:lineRule="auto"/>
              <w:rPr>
                <w:rFonts w:ascii="Arial"/>
                <w:sz w:val="21"/>
                <w:highlight w:val="none"/>
              </w:rPr>
            </w:pPr>
          </w:p>
          <w:p w14:paraId="06ADFCA7">
            <w:pPr>
              <w:spacing w:line="247" w:lineRule="auto"/>
              <w:rPr>
                <w:rFonts w:ascii="Arial"/>
                <w:sz w:val="21"/>
                <w:highlight w:val="none"/>
              </w:rPr>
            </w:pPr>
          </w:p>
          <w:p w14:paraId="5B66D244">
            <w:pPr>
              <w:spacing w:line="247" w:lineRule="auto"/>
              <w:rPr>
                <w:rFonts w:ascii="Arial"/>
                <w:sz w:val="21"/>
                <w:highlight w:val="none"/>
              </w:rPr>
            </w:pPr>
          </w:p>
          <w:p w14:paraId="33D62F80">
            <w:pPr>
              <w:pStyle w:val="9"/>
              <w:spacing w:before="65"/>
              <w:ind w:right="12"/>
              <w:jc w:val="right"/>
              <w:rPr>
                <w:highlight w:val="none"/>
              </w:rPr>
            </w:pPr>
            <w:r>
              <w:rPr>
                <w:spacing w:val="-1"/>
                <w:highlight w:val="none"/>
              </w:rPr>
              <w:t>2.2.4（1）</w:t>
            </w:r>
          </w:p>
        </w:tc>
        <w:tc>
          <w:tcPr>
            <w:tcW w:w="1275" w:type="dxa"/>
            <w:vMerge w:val="restart"/>
            <w:tcBorders>
              <w:bottom w:val="nil"/>
            </w:tcBorders>
            <w:vAlign w:val="top"/>
          </w:tcPr>
          <w:p w14:paraId="68CBB256">
            <w:pPr>
              <w:spacing w:line="246" w:lineRule="auto"/>
              <w:rPr>
                <w:rFonts w:ascii="Arial"/>
                <w:sz w:val="21"/>
                <w:highlight w:val="none"/>
              </w:rPr>
            </w:pPr>
          </w:p>
          <w:p w14:paraId="32E347BD">
            <w:pPr>
              <w:spacing w:line="246" w:lineRule="auto"/>
              <w:rPr>
                <w:rFonts w:ascii="Arial"/>
                <w:sz w:val="21"/>
                <w:highlight w:val="none"/>
              </w:rPr>
            </w:pPr>
          </w:p>
          <w:p w14:paraId="46533832">
            <w:pPr>
              <w:spacing w:line="246" w:lineRule="auto"/>
              <w:rPr>
                <w:rFonts w:ascii="Arial"/>
                <w:sz w:val="21"/>
                <w:highlight w:val="none"/>
              </w:rPr>
            </w:pPr>
          </w:p>
          <w:p w14:paraId="2066D201">
            <w:pPr>
              <w:spacing w:line="246" w:lineRule="auto"/>
              <w:rPr>
                <w:rFonts w:ascii="Arial"/>
                <w:sz w:val="21"/>
                <w:highlight w:val="none"/>
              </w:rPr>
            </w:pPr>
          </w:p>
          <w:p w14:paraId="1598B6C4">
            <w:pPr>
              <w:spacing w:line="246" w:lineRule="auto"/>
              <w:rPr>
                <w:rFonts w:ascii="Arial"/>
                <w:sz w:val="21"/>
                <w:highlight w:val="none"/>
              </w:rPr>
            </w:pPr>
          </w:p>
          <w:p w14:paraId="6A1F7E5D">
            <w:pPr>
              <w:spacing w:line="246" w:lineRule="auto"/>
              <w:rPr>
                <w:rFonts w:ascii="Arial"/>
                <w:sz w:val="21"/>
                <w:highlight w:val="none"/>
              </w:rPr>
            </w:pPr>
          </w:p>
          <w:p w14:paraId="0F21064D">
            <w:pPr>
              <w:spacing w:line="246" w:lineRule="auto"/>
              <w:rPr>
                <w:rFonts w:ascii="Arial"/>
                <w:sz w:val="21"/>
                <w:highlight w:val="none"/>
              </w:rPr>
            </w:pPr>
          </w:p>
          <w:p w14:paraId="5F3373F6">
            <w:pPr>
              <w:spacing w:line="246" w:lineRule="auto"/>
              <w:rPr>
                <w:rFonts w:ascii="Arial"/>
                <w:sz w:val="21"/>
                <w:highlight w:val="none"/>
              </w:rPr>
            </w:pPr>
          </w:p>
          <w:p w14:paraId="048B0AE3">
            <w:pPr>
              <w:spacing w:line="247" w:lineRule="auto"/>
              <w:rPr>
                <w:rFonts w:ascii="Arial"/>
                <w:sz w:val="21"/>
                <w:highlight w:val="none"/>
              </w:rPr>
            </w:pPr>
          </w:p>
          <w:p w14:paraId="67C17CEB">
            <w:pPr>
              <w:spacing w:line="247" w:lineRule="auto"/>
              <w:rPr>
                <w:rFonts w:ascii="Arial"/>
                <w:sz w:val="21"/>
                <w:highlight w:val="none"/>
              </w:rPr>
            </w:pPr>
          </w:p>
          <w:p w14:paraId="4358CFDE">
            <w:pPr>
              <w:spacing w:line="247" w:lineRule="auto"/>
              <w:rPr>
                <w:rFonts w:ascii="Arial"/>
                <w:sz w:val="21"/>
                <w:highlight w:val="none"/>
              </w:rPr>
            </w:pPr>
          </w:p>
          <w:p w14:paraId="586067F3">
            <w:pPr>
              <w:spacing w:line="247" w:lineRule="auto"/>
              <w:rPr>
                <w:rFonts w:ascii="Arial"/>
                <w:sz w:val="21"/>
                <w:highlight w:val="none"/>
              </w:rPr>
            </w:pPr>
          </w:p>
          <w:p w14:paraId="6C6CB389">
            <w:pPr>
              <w:spacing w:line="247" w:lineRule="auto"/>
              <w:rPr>
                <w:rFonts w:ascii="Arial"/>
                <w:sz w:val="21"/>
                <w:highlight w:val="none"/>
              </w:rPr>
            </w:pPr>
          </w:p>
          <w:p w14:paraId="309E0A41">
            <w:pPr>
              <w:spacing w:line="247" w:lineRule="auto"/>
              <w:rPr>
                <w:rFonts w:ascii="Arial"/>
                <w:sz w:val="21"/>
                <w:highlight w:val="none"/>
              </w:rPr>
            </w:pPr>
          </w:p>
          <w:p w14:paraId="31C248D8">
            <w:pPr>
              <w:pStyle w:val="9"/>
              <w:spacing w:before="65" w:line="227" w:lineRule="auto"/>
              <w:ind w:left="116"/>
              <w:rPr>
                <w:highlight w:val="none"/>
              </w:rPr>
            </w:pPr>
            <w:r>
              <w:rPr>
                <w:spacing w:val="7"/>
                <w:highlight w:val="none"/>
              </w:rPr>
              <w:t>技术建议书</w:t>
            </w:r>
          </w:p>
        </w:tc>
        <w:tc>
          <w:tcPr>
            <w:tcW w:w="936" w:type="dxa"/>
            <w:vMerge w:val="restart"/>
            <w:tcBorders>
              <w:bottom w:val="nil"/>
            </w:tcBorders>
            <w:vAlign w:val="top"/>
          </w:tcPr>
          <w:p w14:paraId="6C8B2A9F">
            <w:pPr>
              <w:spacing w:line="246" w:lineRule="auto"/>
              <w:rPr>
                <w:rFonts w:ascii="Arial"/>
                <w:sz w:val="21"/>
                <w:highlight w:val="none"/>
              </w:rPr>
            </w:pPr>
          </w:p>
          <w:p w14:paraId="73C06F98">
            <w:pPr>
              <w:spacing w:line="246" w:lineRule="auto"/>
              <w:rPr>
                <w:rFonts w:ascii="Arial"/>
                <w:sz w:val="21"/>
                <w:highlight w:val="none"/>
              </w:rPr>
            </w:pPr>
          </w:p>
          <w:p w14:paraId="756E3B51">
            <w:pPr>
              <w:spacing w:line="246" w:lineRule="auto"/>
              <w:rPr>
                <w:rFonts w:ascii="Arial"/>
                <w:sz w:val="21"/>
                <w:highlight w:val="none"/>
              </w:rPr>
            </w:pPr>
          </w:p>
          <w:p w14:paraId="619CD9B9">
            <w:pPr>
              <w:spacing w:line="246" w:lineRule="auto"/>
              <w:rPr>
                <w:rFonts w:ascii="Arial"/>
                <w:sz w:val="21"/>
                <w:highlight w:val="none"/>
              </w:rPr>
            </w:pPr>
          </w:p>
          <w:p w14:paraId="3BA648D9">
            <w:pPr>
              <w:spacing w:line="246" w:lineRule="auto"/>
              <w:rPr>
                <w:rFonts w:ascii="Arial"/>
                <w:sz w:val="21"/>
                <w:highlight w:val="none"/>
              </w:rPr>
            </w:pPr>
          </w:p>
          <w:p w14:paraId="7CB1D026">
            <w:pPr>
              <w:spacing w:line="246" w:lineRule="auto"/>
              <w:rPr>
                <w:rFonts w:ascii="Arial"/>
                <w:sz w:val="21"/>
                <w:highlight w:val="none"/>
              </w:rPr>
            </w:pPr>
          </w:p>
          <w:p w14:paraId="70497870">
            <w:pPr>
              <w:spacing w:line="246" w:lineRule="auto"/>
              <w:rPr>
                <w:rFonts w:ascii="Arial"/>
                <w:sz w:val="21"/>
                <w:highlight w:val="none"/>
              </w:rPr>
            </w:pPr>
          </w:p>
          <w:p w14:paraId="35FB378E">
            <w:pPr>
              <w:spacing w:line="247" w:lineRule="auto"/>
              <w:rPr>
                <w:rFonts w:ascii="Arial"/>
                <w:sz w:val="21"/>
                <w:highlight w:val="none"/>
              </w:rPr>
            </w:pPr>
          </w:p>
          <w:p w14:paraId="48DA03A2">
            <w:pPr>
              <w:spacing w:line="247" w:lineRule="auto"/>
              <w:rPr>
                <w:rFonts w:ascii="Arial"/>
                <w:sz w:val="21"/>
                <w:highlight w:val="none"/>
              </w:rPr>
            </w:pPr>
          </w:p>
          <w:p w14:paraId="2DDFB6FB">
            <w:pPr>
              <w:spacing w:line="247" w:lineRule="auto"/>
              <w:rPr>
                <w:rFonts w:ascii="Arial"/>
                <w:sz w:val="21"/>
                <w:highlight w:val="none"/>
              </w:rPr>
            </w:pPr>
          </w:p>
          <w:p w14:paraId="07D8E327">
            <w:pPr>
              <w:spacing w:line="247" w:lineRule="auto"/>
              <w:rPr>
                <w:rFonts w:ascii="Arial"/>
                <w:sz w:val="21"/>
                <w:highlight w:val="none"/>
              </w:rPr>
            </w:pPr>
          </w:p>
          <w:p w14:paraId="26EDC4EF">
            <w:pPr>
              <w:spacing w:line="247" w:lineRule="auto"/>
              <w:rPr>
                <w:rFonts w:ascii="Arial"/>
                <w:sz w:val="21"/>
                <w:highlight w:val="none"/>
              </w:rPr>
            </w:pPr>
          </w:p>
          <w:p w14:paraId="15E85CA6">
            <w:pPr>
              <w:spacing w:line="247" w:lineRule="auto"/>
              <w:rPr>
                <w:rFonts w:ascii="Arial"/>
                <w:sz w:val="21"/>
                <w:highlight w:val="none"/>
              </w:rPr>
            </w:pPr>
          </w:p>
          <w:p w14:paraId="4DA7BD0D">
            <w:pPr>
              <w:spacing w:line="247" w:lineRule="auto"/>
              <w:rPr>
                <w:rFonts w:ascii="Arial"/>
                <w:sz w:val="21"/>
                <w:highlight w:val="none"/>
              </w:rPr>
            </w:pPr>
          </w:p>
          <w:p w14:paraId="4602CAE3">
            <w:pPr>
              <w:pStyle w:val="9"/>
              <w:tabs>
                <w:tab w:val="left" w:pos="260"/>
              </w:tabs>
              <w:spacing w:before="65" w:line="228" w:lineRule="auto"/>
              <w:ind w:left="149"/>
              <w:rPr>
                <w:highlight w:val="none"/>
              </w:rPr>
            </w:pPr>
            <w:r>
              <w:rPr>
                <w:highlight w:val="none"/>
                <w:u w:val="single" w:color="auto"/>
              </w:rPr>
              <w:tab/>
            </w:r>
            <w:r>
              <w:rPr>
                <w:spacing w:val="1"/>
                <w:highlight w:val="none"/>
                <w:u w:val="single" w:color="auto"/>
              </w:rPr>
              <w:t>45</w:t>
            </w:r>
            <w:r>
              <w:rPr>
                <w:spacing w:val="17"/>
                <w:highlight w:val="none"/>
                <w:u w:val="single" w:color="auto"/>
              </w:rPr>
              <w:t xml:space="preserve"> </w:t>
            </w:r>
            <w:r>
              <w:rPr>
                <w:spacing w:val="1"/>
                <w:highlight w:val="none"/>
              </w:rPr>
              <w:t>分</w:t>
            </w:r>
          </w:p>
        </w:tc>
        <w:tc>
          <w:tcPr>
            <w:tcW w:w="1594" w:type="dxa"/>
            <w:vAlign w:val="top"/>
          </w:tcPr>
          <w:p w14:paraId="0D44CCB7">
            <w:pPr>
              <w:pStyle w:val="9"/>
              <w:spacing w:before="292" w:line="286" w:lineRule="auto"/>
              <w:ind w:left="112" w:right="106"/>
              <w:jc w:val="both"/>
              <w:rPr>
                <w:highlight w:val="none"/>
              </w:rPr>
            </w:pPr>
            <w:r>
              <w:rPr>
                <w:spacing w:val="7"/>
                <w:highlight w:val="none"/>
              </w:rPr>
              <w:t>对招标项目</w:t>
            </w:r>
            <w:r>
              <w:rPr>
                <w:spacing w:val="-51"/>
                <w:highlight w:val="none"/>
              </w:rPr>
              <w:t xml:space="preserve"> </w:t>
            </w:r>
            <w:r>
              <w:rPr>
                <w:spacing w:val="7"/>
                <w:highlight w:val="none"/>
              </w:rPr>
              <w:t>的</w:t>
            </w:r>
            <w:r>
              <w:rPr>
                <w:highlight w:val="none"/>
              </w:rPr>
              <w:t xml:space="preserve"> </w:t>
            </w:r>
            <w:r>
              <w:rPr>
                <w:spacing w:val="28"/>
                <w:highlight w:val="none"/>
              </w:rPr>
              <w:t>理解和总体设</w:t>
            </w:r>
            <w:r>
              <w:rPr>
                <w:highlight w:val="none"/>
              </w:rPr>
              <w:t xml:space="preserve"> </w:t>
            </w:r>
            <w:r>
              <w:rPr>
                <w:spacing w:val="6"/>
                <w:highlight w:val="none"/>
              </w:rPr>
              <w:t>计思路</w:t>
            </w:r>
          </w:p>
        </w:tc>
        <w:tc>
          <w:tcPr>
            <w:tcW w:w="851" w:type="dxa"/>
            <w:vAlign w:val="top"/>
          </w:tcPr>
          <w:p w14:paraId="7C853508">
            <w:pPr>
              <w:spacing w:line="272" w:lineRule="auto"/>
              <w:rPr>
                <w:rFonts w:ascii="Arial"/>
                <w:sz w:val="21"/>
                <w:highlight w:val="none"/>
              </w:rPr>
            </w:pPr>
          </w:p>
          <w:p w14:paraId="33E42F3F">
            <w:pPr>
              <w:spacing w:line="273" w:lineRule="auto"/>
              <w:rPr>
                <w:rFonts w:ascii="Arial"/>
                <w:sz w:val="21"/>
                <w:highlight w:val="none"/>
              </w:rPr>
            </w:pPr>
          </w:p>
          <w:p w14:paraId="664509EC">
            <w:pPr>
              <w:pStyle w:val="9"/>
              <w:tabs>
                <w:tab w:val="left" w:pos="237"/>
              </w:tabs>
              <w:spacing w:before="65" w:line="228" w:lineRule="auto"/>
              <w:ind w:left="108"/>
              <w:rPr>
                <w:highlight w:val="none"/>
              </w:rPr>
            </w:pPr>
            <w:r>
              <w:rPr>
                <w:highlight w:val="none"/>
                <w:u w:val="single" w:color="auto"/>
              </w:rPr>
              <w:tab/>
            </w:r>
            <w:r>
              <w:rPr>
                <w:spacing w:val="-5"/>
                <w:highlight w:val="none"/>
                <w:u w:val="single" w:color="auto"/>
              </w:rPr>
              <w:t>15</w:t>
            </w:r>
            <w:r>
              <w:rPr>
                <w:spacing w:val="15"/>
                <w:highlight w:val="none"/>
                <w:u w:val="single" w:color="auto"/>
              </w:rPr>
              <w:t xml:space="preserve"> </w:t>
            </w:r>
            <w:r>
              <w:rPr>
                <w:spacing w:val="-5"/>
                <w:highlight w:val="none"/>
              </w:rPr>
              <w:t>分</w:t>
            </w:r>
          </w:p>
        </w:tc>
        <w:tc>
          <w:tcPr>
            <w:tcW w:w="3796" w:type="dxa"/>
            <w:vAlign w:val="top"/>
          </w:tcPr>
          <w:p w14:paraId="2FA1AD2B">
            <w:pPr>
              <w:pStyle w:val="9"/>
              <w:spacing w:before="134" w:line="288" w:lineRule="auto"/>
              <w:ind w:left="115" w:right="107"/>
              <w:rPr>
                <w:highlight w:val="none"/>
              </w:rPr>
            </w:pPr>
            <w:r>
              <w:rPr>
                <w:spacing w:val="9"/>
                <w:highlight w:val="none"/>
              </w:rPr>
              <w:t>对招标项目的理解和总体思路正确、符</w:t>
            </w:r>
            <w:r>
              <w:rPr>
                <w:spacing w:val="14"/>
                <w:highlight w:val="none"/>
              </w:rPr>
              <w:t xml:space="preserve"> </w:t>
            </w:r>
            <w:r>
              <w:rPr>
                <w:spacing w:val="7"/>
                <w:highlight w:val="none"/>
              </w:rPr>
              <w:t>合实际情况得</w:t>
            </w:r>
            <w:r>
              <w:rPr>
                <w:spacing w:val="-24"/>
                <w:highlight w:val="none"/>
              </w:rPr>
              <w:t xml:space="preserve"> </w:t>
            </w:r>
            <w:r>
              <w:rPr>
                <w:spacing w:val="7"/>
                <w:highlight w:val="none"/>
              </w:rPr>
              <w:t>9.0</w:t>
            </w:r>
            <w:r>
              <w:rPr>
                <w:spacing w:val="-36"/>
                <w:highlight w:val="none"/>
              </w:rPr>
              <w:t xml:space="preserve"> </w:t>
            </w:r>
            <w:r>
              <w:rPr>
                <w:spacing w:val="7"/>
                <w:highlight w:val="none"/>
              </w:rPr>
              <w:t>分，理解深刻、思路</w:t>
            </w:r>
            <w:r>
              <w:rPr>
                <w:highlight w:val="none"/>
              </w:rPr>
              <w:t xml:space="preserve"> </w:t>
            </w:r>
            <w:r>
              <w:rPr>
                <w:spacing w:val="9"/>
                <w:highlight w:val="none"/>
              </w:rPr>
              <w:t>清晰、认识全面且有独到见解的加分，</w:t>
            </w:r>
            <w:r>
              <w:rPr>
                <w:spacing w:val="13"/>
                <w:highlight w:val="none"/>
              </w:rPr>
              <w:t xml:space="preserve"> </w:t>
            </w:r>
            <w:r>
              <w:rPr>
                <w:spacing w:val="3"/>
                <w:highlight w:val="none"/>
              </w:rPr>
              <w:t>最高加</w:t>
            </w:r>
            <w:r>
              <w:rPr>
                <w:spacing w:val="-38"/>
                <w:highlight w:val="none"/>
              </w:rPr>
              <w:t xml:space="preserve"> </w:t>
            </w:r>
            <w:r>
              <w:rPr>
                <w:spacing w:val="3"/>
                <w:highlight w:val="none"/>
              </w:rPr>
              <w:t>6.0</w:t>
            </w:r>
            <w:r>
              <w:rPr>
                <w:spacing w:val="-38"/>
                <w:highlight w:val="none"/>
              </w:rPr>
              <w:t xml:space="preserve"> </w:t>
            </w:r>
            <w:r>
              <w:rPr>
                <w:spacing w:val="3"/>
                <w:highlight w:val="none"/>
              </w:rPr>
              <w:t>分。</w:t>
            </w:r>
          </w:p>
        </w:tc>
      </w:tr>
      <w:tr w14:paraId="42B8EED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8" w:hRule="atLeast"/>
        </w:trPr>
        <w:tc>
          <w:tcPr>
            <w:tcW w:w="1133" w:type="dxa"/>
            <w:vMerge w:val="continue"/>
            <w:tcBorders>
              <w:top w:val="nil"/>
              <w:bottom w:val="nil"/>
            </w:tcBorders>
            <w:vAlign w:val="top"/>
          </w:tcPr>
          <w:p w14:paraId="067897A6"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1275" w:type="dxa"/>
            <w:vMerge w:val="continue"/>
            <w:tcBorders>
              <w:top w:val="nil"/>
              <w:bottom w:val="nil"/>
            </w:tcBorders>
            <w:vAlign w:val="top"/>
          </w:tcPr>
          <w:p w14:paraId="77629B62"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936" w:type="dxa"/>
            <w:vMerge w:val="continue"/>
            <w:tcBorders>
              <w:top w:val="nil"/>
              <w:bottom w:val="nil"/>
            </w:tcBorders>
            <w:vAlign w:val="top"/>
          </w:tcPr>
          <w:p w14:paraId="55596209"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1594" w:type="dxa"/>
            <w:vAlign w:val="top"/>
          </w:tcPr>
          <w:p w14:paraId="1A01D975">
            <w:pPr>
              <w:pStyle w:val="9"/>
              <w:spacing w:before="135" w:line="288" w:lineRule="auto"/>
              <w:ind w:left="112" w:right="106"/>
              <w:jc w:val="both"/>
              <w:rPr>
                <w:highlight w:val="none"/>
              </w:rPr>
            </w:pPr>
            <w:r>
              <w:rPr>
                <w:spacing w:val="7"/>
                <w:highlight w:val="none"/>
              </w:rPr>
              <w:t>对招标项</w:t>
            </w:r>
            <w:r>
              <w:rPr>
                <w:spacing w:val="-22"/>
                <w:highlight w:val="none"/>
              </w:rPr>
              <w:t xml:space="preserve"> </w:t>
            </w:r>
            <w:r>
              <w:rPr>
                <w:spacing w:val="7"/>
                <w:highlight w:val="none"/>
              </w:rPr>
              <w:t>目</w:t>
            </w:r>
            <w:r>
              <w:rPr>
                <w:spacing w:val="-51"/>
                <w:highlight w:val="none"/>
              </w:rPr>
              <w:t xml:space="preserve"> </w:t>
            </w:r>
            <w:r>
              <w:rPr>
                <w:spacing w:val="7"/>
                <w:highlight w:val="none"/>
              </w:rPr>
              <w:t>的</w:t>
            </w:r>
            <w:r>
              <w:rPr>
                <w:highlight w:val="none"/>
              </w:rPr>
              <w:t xml:space="preserve"> </w:t>
            </w:r>
            <w:r>
              <w:rPr>
                <w:spacing w:val="-5"/>
                <w:highlight w:val="none"/>
              </w:rPr>
              <w:t>特点、关键技术</w:t>
            </w:r>
            <w:r>
              <w:rPr>
                <w:spacing w:val="3"/>
                <w:highlight w:val="none"/>
              </w:rPr>
              <w:t xml:space="preserve"> </w:t>
            </w:r>
            <w:r>
              <w:rPr>
                <w:spacing w:val="19"/>
                <w:highlight w:val="none"/>
              </w:rPr>
              <w:t>问题</w:t>
            </w:r>
            <w:r>
              <w:rPr>
                <w:spacing w:val="-46"/>
                <w:highlight w:val="none"/>
              </w:rPr>
              <w:t xml:space="preserve"> </w:t>
            </w:r>
            <w:r>
              <w:rPr>
                <w:spacing w:val="19"/>
                <w:highlight w:val="none"/>
              </w:rPr>
              <w:t>的认识及</w:t>
            </w:r>
            <w:r>
              <w:rPr>
                <w:highlight w:val="none"/>
              </w:rPr>
              <w:t xml:space="preserve"> </w:t>
            </w:r>
            <w:r>
              <w:rPr>
                <w:spacing w:val="8"/>
                <w:highlight w:val="none"/>
              </w:rPr>
              <w:t>其对策措施</w:t>
            </w:r>
          </w:p>
        </w:tc>
        <w:tc>
          <w:tcPr>
            <w:tcW w:w="851" w:type="dxa"/>
            <w:vAlign w:val="top"/>
          </w:tcPr>
          <w:p w14:paraId="274C1BE6">
            <w:pPr>
              <w:spacing w:line="273" w:lineRule="auto"/>
              <w:rPr>
                <w:rFonts w:ascii="Arial"/>
                <w:sz w:val="21"/>
                <w:highlight w:val="none"/>
              </w:rPr>
            </w:pPr>
          </w:p>
          <w:p w14:paraId="2FBA8D8E">
            <w:pPr>
              <w:spacing w:line="273" w:lineRule="auto"/>
              <w:rPr>
                <w:rFonts w:ascii="Arial"/>
                <w:sz w:val="21"/>
                <w:highlight w:val="none"/>
              </w:rPr>
            </w:pPr>
          </w:p>
          <w:p w14:paraId="2E616351">
            <w:pPr>
              <w:pStyle w:val="9"/>
              <w:tabs>
                <w:tab w:val="left" w:pos="237"/>
              </w:tabs>
              <w:spacing w:before="65" w:line="228" w:lineRule="auto"/>
              <w:ind w:left="108"/>
              <w:rPr>
                <w:highlight w:val="none"/>
              </w:rPr>
            </w:pPr>
            <w:r>
              <w:rPr>
                <w:highlight w:val="none"/>
                <w:u w:val="single" w:color="auto"/>
              </w:rPr>
              <w:tab/>
            </w:r>
            <w:r>
              <w:rPr>
                <w:spacing w:val="-5"/>
                <w:highlight w:val="none"/>
                <w:u w:val="single" w:color="auto"/>
              </w:rPr>
              <w:t>10</w:t>
            </w:r>
            <w:r>
              <w:rPr>
                <w:spacing w:val="15"/>
                <w:highlight w:val="none"/>
                <w:u w:val="single" w:color="auto"/>
              </w:rPr>
              <w:t xml:space="preserve"> </w:t>
            </w:r>
            <w:r>
              <w:rPr>
                <w:spacing w:val="-5"/>
                <w:highlight w:val="none"/>
              </w:rPr>
              <w:t>分</w:t>
            </w:r>
          </w:p>
        </w:tc>
        <w:tc>
          <w:tcPr>
            <w:tcW w:w="3796" w:type="dxa"/>
            <w:vAlign w:val="top"/>
          </w:tcPr>
          <w:p w14:paraId="0FD07B98">
            <w:pPr>
              <w:pStyle w:val="9"/>
              <w:spacing w:before="293" w:line="286" w:lineRule="auto"/>
              <w:ind w:left="115" w:right="107"/>
              <w:jc w:val="both"/>
              <w:rPr>
                <w:highlight w:val="none"/>
              </w:rPr>
            </w:pPr>
            <w:r>
              <w:rPr>
                <w:spacing w:val="9"/>
                <w:highlight w:val="none"/>
              </w:rPr>
              <w:t>对招标项目特点、关键技术问题认识及</w:t>
            </w:r>
            <w:r>
              <w:rPr>
                <w:spacing w:val="14"/>
                <w:highlight w:val="none"/>
              </w:rPr>
              <w:t xml:space="preserve"> </w:t>
            </w:r>
            <w:r>
              <w:rPr>
                <w:spacing w:val="7"/>
                <w:highlight w:val="none"/>
              </w:rPr>
              <w:t>其对策措施准确得</w:t>
            </w:r>
            <w:r>
              <w:rPr>
                <w:spacing w:val="-24"/>
                <w:highlight w:val="none"/>
              </w:rPr>
              <w:t xml:space="preserve"> </w:t>
            </w:r>
            <w:r>
              <w:rPr>
                <w:spacing w:val="7"/>
                <w:highlight w:val="none"/>
              </w:rPr>
              <w:t>6.0</w:t>
            </w:r>
            <w:r>
              <w:rPr>
                <w:spacing w:val="-38"/>
                <w:highlight w:val="none"/>
              </w:rPr>
              <w:t xml:space="preserve"> </w:t>
            </w:r>
            <w:r>
              <w:rPr>
                <w:spacing w:val="7"/>
                <w:highlight w:val="none"/>
              </w:rPr>
              <w:t>分，非常准确且</w:t>
            </w:r>
            <w:r>
              <w:rPr>
                <w:highlight w:val="none"/>
              </w:rPr>
              <w:t xml:space="preserve"> </w:t>
            </w:r>
            <w:r>
              <w:rPr>
                <w:spacing w:val="6"/>
                <w:highlight w:val="none"/>
              </w:rPr>
              <w:t>认识全面的加分，最高加</w:t>
            </w:r>
            <w:r>
              <w:rPr>
                <w:spacing w:val="-30"/>
                <w:highlight w:val="none"/>
              </w:rPr>
              <w:t xml:space="preserve"> </w:t>
            </w:r>
            <w:r>
              <w:rPr>
                <w:spacing w:val="6"/>
                <w:highlight w:val="none"/>
              </w:rPr>
              <w:t>4.0</w:t>
            </w:r>
            <w:r>
              <w:rPr>
                <w:spacing w:val="-38"/>
                <w:highlight w:val="none"/>
              </w:rPr>
              <w:t xml:space="preserve"> </w:t>
            </w:r>
            <w:r>
              <w:rPr>
                <w:spacing w:val="6"/>
                <w:highlight w:val="none"/>
              </w:rPr>
              <w:t>分。</w:t>
            </w:r>
          </w:p>
        </w:tc>
      </w:tr>
      <w:tr w14:paraId="43B3069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8" w:hRule="atLeast"/>
        </w:trPr>
        <w:tc>
          <w:tcPr>
            <w:tcW w:w="1133" w:type="dxa"/>
            <w:vMerge w:val="continue"/>
            <w:tcBorders>
              <w:top w:val="nil"/>
              <w:bottom w:val="nil"/>
            </w:tcBorders>
            <w:vAlign w:val="top"/>
          </w:tcPr>
          <w:p w14:paraId="40EE6F98"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1275" w:type="dxa"/>
            <w:vMerge w:val="continue"/>
            <w:tcBorders>
              <w:top w:val="nil"/>
              <w:bottom w:val="nil"/>
            </w:tcBorders>
            <w:vAlign w:val="top"/>
          </w:tcPr>
          <w:p w14:paraId="1DE887B4"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936" w:type="dxa"/>
            <w:vMerge w:val="continue"/>
            <w:tcBorders>
              <w:top w:val="nil"/>
              <w:bottom w:val="nil"/>
            </w:tcBorders>
            <w:vAlign w:val="top"/>
          </w:tcPr>
          <w:p w14:paraId="60F63918"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1594" w:type="dxa"/>
            <w:vAlign w:val="top"/>
          </w:tcPr>
          <w:p w14:paraId="14E4E4C8">
            <w:pPr>
              <w:spacing w:line="387" w:lineRule="auto"/>
              <w:rPr>
                <w:rFonts w:ascii="Arial"/>
                <w:sz w:val="21"/>
                <w:highlight w:val="none"/>
              </w:rPr>
            </w:pPr>
          </w:p>
          <w:p w14:paraId="00DDC62C">
            <w:pPr>
              <w:pStyle w:val="9"/>
              <w:spacing w:before="65" w:line="281" w:lineRule="auto"/>
              <w:ind w:left="112" w:right="106" w:firstLine="3"/>
              <w:rPr>
                <w:highlight w:val="none"/>
              </w:rPr>
            </w:pPr>
            <w:r>
              <w:rPr>
                <w:spacing w:val="27"/>
                <w:highlight w:val="none"/>
              </w:rPr>
              <w:t>设计工作量及</w:t>
            </w:r>
            <w:r>
              <w:rPr>
                <w:spacing w:val="3"/>
                <w:highlight w:val="none"/>
              </w:rPr>
              <w:t xml:space="preserve"> </w:t>
            </w:r>
            <w:r>
              <w:rPr>
                <w:spacing w:val="7"/>
                <w:highlight w:val="none"/>
              </w:rPr>
              <w:t>计划安排</w:t>
            </w:r>
          </w:p>
        </w:tc>
        <w:tc>
          <w:tcPr>
            <w:tcW w:w="851" w:type="dxa"/>
            <w:vAlign w:val="top"/>
          </w:tcPr>
          <w:p w14:paraId="6BB5798C">
            <w:pPr>
              <w:spacing w:line="273" w:lineRule="auto"/>
              <w:rPr>
                <w:rFonts w:ascii="Arial"/>
                <w:sz w:val="21"/>
                <w:highlight w:val="none"/>
              </w:rPr>
            </w:pPr>
          </w:p>
          <w:p w14:paraId="0169FD51">
            <w:pPr>
              <w:spacing w:line="274" w:lineRule="auto"/>
              <w:rPr>
                <w:rFonts w:ascii="Arial"/>
                <w:sz w:val="21"/>
                <w:highlight w:val="none"/>
              </w:rPr>
            </w:pPr>
          </w:p>
          <w:p w14:paraId="0801550C">
            <w:pPr>
              <w:pStyle w:val="9"/>
              <w:tabs>
                <w:tab w:val="left" w:pos="237"/>
              </w:tabs>
              <w:spacing w:before="65" w:line="228" w:lineRule="auto"/>
              <w:ind w:left="108"/>
              <w:rPr>
                <w:highlight w:val="none"/>
              </w:rPr>
            </w:pPr>
            <w:r>
              <w:rPr>
                <w:highlight w:val="none"/>
                <w:u w:val="single" w:color="auto"/>
              </w:rPr>
              <w:tab/>
            </w:r>
            <w:r>
              <w:rPr>
                <w:spacing w:val="-5"/>
                <w:highlight w:val="none"/>
                <w:u w:val="single" w:color="auto"/>
              </w:rPr>
              <w:t>10</w:t>
            </w:r>
            <w:r>
              <w:rPr>
                <w:spacing w:val="15"/>
                <w:highlight w:val="none"/>
                <w:u w:val="single" w:color="auto"/>
              </w:rPr>
              <w:t xml:space="preserve"> </w:t>
            </w:r>
            <w:r>
              <w:rPr>
                <w:spacing w:val="-5"/>
                <w:highlight w:val="none"/>
              </w:rPr>
              <w:t>分</w:t>
            </w:r>
          </w:p>
        </w:tc>
        <w:tc>
          <w:tcPr>
            <w:tcW w:w="3796" w:type="dxa"/>
            <w:vAlign w:val="top"/>
          </w:tcPr>
          <w:p w14:paraId="01F9705A">
            <w:pPr>
              <w:pStyle w:val="9"/>
              <w:spacing w:before="136" w:line="288" w:lineRule="auto"/>
              <w:ind w:left="115" w:right="38" w:firstLine="3"/>
              <w:jc w:val="both"/>
              <w:rPr>
                <w:highlight w:val="none"/>
              </w:rPr>
            </w:pPr>
            <w:r>
              <w:rPr>
                <w:spacing w:val="9"/>
                <w:highlight w:val="none"/>
              </w:rPr>
              <w:t>设计工作量估算基本准确、计划安排基</w:t>
            </w:r>
            <w:r>
              <w:rPr>
                <w:spacing w:val="10"/>
                <w:highlight w:val="none"/>
              </w:rPr>
              <w:t xml:space="preserve"> </w:t>
            </w:r>
            <w:r>
              <w:rPr>
                <w:highlight w:val="none"/>
              </w:rPr>
              <w:t>本可行得</w:t>
            </w:r>
            <w:r>
              <w:rPr>
                <w:spacing w:val="-30"/>
                <w:highlight w:val="none"/>
              </w:rPr>
              <w:t xml:space="preserve"> </w:t>
            </w:r>
            <w:r>
              <w:rPr>
                <w:highlight w:val="none"/>
              </w:rPr>
              <w:t>6.0</w:t>
            </w:r>
            <w:r>
              <w:rPr>
                <w:spacing w:val="-35"/>
                <w:highlight w:val="none"/>
              </w:rPr>
              <w:t xml:space="preserve"> </w:t>
            </w:r>
            <w:r>
              <w:rPr>
                <w:highlight w:val="none"/>
              </w:rPr>
              <w:t xml:space="preserve">分，设计工作量估算准确、 </w:t>
            </w:r>
            <w:r>
              <w:rPr>
                <w:spacing w:val="11"/>
                <w:highlight w:val="none"/>
              </w:rPr>
              <w:t>计划安排合理，酌情加分，最高加</w:t>
            </w:r>
            <w:r>
              <w:rPr>
                <w:spacing w:val="-33"/>
                <w:highlight w:val="none"/>
              </w:rPr>
              <w:t xml:space="preserve"> </w:t>
            </w:r>
            <w:r>
              <w:rPr>
                <w:spacing w:val="11"/>
                <w:highlight w:val="none"/>
              </w:rPr>
              <w:t>4.0</w:t>
            </w:r>
            <w:r>
              <w:rPr>
                <w:highlight w:val="none"/>
              </w:rPr>
              <w:t xml:space="preserve"> 分。</w:t>
            </w:r>
          </w:p>
        </w:tc>
      </w:tr>
      <w:tr w14:paraId="147257D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3" w:hRule="atLeast"/>
        </w:trPr>
        <w:tc>
          <w:tcPr>
            <w:tcW w:w="1133" w:type="dxa"/>
            <w:vMerge w:val="continue"/>
            <w:tcBorders>
              <w:top w:val="nil"/>
              <w:bottom w:val="nil"/>
            </w:tcBorders>
            <w:vAlign w:val="top"/>
          </w:tcPr>
          <w:p w14:paraId="7B2A2A85"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1275" w:type="dxa"/>
            <w:vMerge w:val="continue"/>
            <w:tcBorders>
              <w:top w:val="nil"/>
              <w:bottom w:val="nil"/>
            </w:tcBorders>
            <w:vAlign w:val="top"/>
          </w:tcPr>
          <w:p w14:paraId="56A666AF"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936" w:type="dxa"/>
            <w:vMerge w:val="continue"/>
            <w:tcBorders>
              <w:top w:val="nil"/>
              <w:bottom w:val="nil"/>
            </w:tcBorders>
            <w:vAlign w:val="top"/>
          </w:tcPr>
          <w:p w14:paraId="4EEEA26F"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1594" w:type="dxa"/>
            <w:vAlign w:val="top"/>
          </w:tcPr>
          <w:p w14:paraId="47AEF963">
            <w:pPr>
              <w:spacing w:line="318" w:lineRule="auto"/>
              <w:rPr>
                <w:rFonts w:ascii="Arial"/>
                <w:sz w:val="21"/>
                <w:highlight w:val="none"/>
              </w:rPr>
            </w:pPr>
          </w:p>
          <w:p w14:paraId="0056CF89">
            <w:pPr>
              <w:pStyle w:val="9"/>
              <w:spacing w:before="65" w:line="288" w:lineRule="auto"/>
              <w:ind w:left="112" w:right="106" w:firstLine="3"/>
              <w:jc w:val="both"/>
              <w:rPr>
                <w:highlight w:val="none"/>
              </w:rPr>
            </w:pPr>
            <w:r>
              <w:rPr>
                <w:spacing w:val="19"/>
                <w:highlight w:val="none"/>
              </w:rPr>
              <w:t>设计</w:t>
            </w:r>
            <w:r>
              <w:rPr>
                <w:spacing w:val="-49"/>
                <w:highlight w:val="none"/>
              </w:rPr>
              <w:t xml:space="preserve"> </w:t>
            </w:r>
            <w:r>
              <w:rPr>
                <w:spacing w:val="19"/>
                <w:highlight w:val="none"/>
              </w:rPr>
              <w:t>的质量保</w:t>
            </w:r>
            <w:r>
              <w:rPr>
                <w:highlight w:val="none"/>
              </w:rPr>
              <w:t xml:space="preserve"> </w:t>
            </w:r>
            <w:r>
              <w:rPr>
                <w:spacing w:val="-5"/>
                <w:highlight w:val="none"/>
              </w:rPr>
              <w:t>证措施、进度保</w:t>
            </w:r>
            <w:r>
              <w:rPr>
                <w:spacing w:val="3"/>
                <w:highlight w:val="none"/>
              </w:rPr>
              <w:t xml:space="preserve"> </w:t>
            </w:r>
            <w:r>
              <w:rPr>
                <w:spacing w:val="-5"/>
                <w:highlight w:val="none"/>
              </w:rPr>
              <w:t>证措施、安全保</w:t>
            </w:r>
            <w:r>
              <w:rPr>
                <w:spacing w:val="3"/>
                <w:highlight w:val="none"/>
              </w:rPr>
              <w:t xml:space="preserve"> </w:t>
            </w:r>
            <w:r>
              <w:rPr>
                <w:spacing w:val="6"/>
                <w:highlight w:val="none"/>
              </w:rPr>
              <w:t>证措施</w:t>
            </w:r>
          </w:p>
        </w:tc>
        <w:tc>
          <w:tcPr>
            <w:tcW w:w="851" w:type="dxa"/>
            <w:vAlign w:val="top"/>
          </w:tcPr>
          <w:p w14:paraId="62DA23C8">
            <w:pPr>
              <w:spacing w:line="264" w:lineRule="auto"/>
              <w:rPr>
                <w:rFonts w:ascii="Arial"/>
                <w:sz w:val="21"/>
                <w:highlight w:val="none"/>
              </w:rPr>
            </w:pPr>
          </w:p>
          <w:p w14:paraId="13C751F9">
            <w:pPr>
              <w:spacing w:line="265" w:lineRule="auto"/>
              <w:rPr>
                <w:rFonts w:ascii="Arial"/>
                <w:sz w:val="21"/>
                <w:highlight w:val="none"/>
              </w:rPr>
            </w:pPr>
          </w:p>
          <w:p w14:paraId="4273C497">
            <w:pPr>
              <w:spacing w:line="265" w:lineRule="auto"/>
              <w:rPr>
                <w:rFonts w:ascii="Arial"/>
                <w:sz w:val="21"/>
                <w:highlight w:val="none"/>
              </w:rPr>
            </w:pPr>
          </w:p>
          <w:p w14:paraId="7704CDC0">
            <w:pPr>
              <w:pStyle w:val="9"/>
              <w:tabs>
                <w:tab w:val="left" w:pos="278"/>
              </w:tabs>
              <w:spacing w:before="65" w:line="228" w:lineRule="auto"/>
              <w:ind w:left="161"/>
              <w:rPr>
                <w:highlight w:val="none"/>
              </w:rPr>
            </w:pPr>
            <w:r>
              <w:rPr>
                <w:highlight w:val="none"/>
                <w:u w:val="single" w:color="auto"/>
              </w:rPr>
              <w:tab/>
            </w:r>
            <w:r>
              <w:rPr>
                <w:spacing w:val="-4"/>
                <w:highlight w:val="none"/>
                <w:u w:val="single" w:color="auto"/>
              </w:rPr>
              <w:t>5</w:t>
            </w:r>
            <w:r>
              <w:rPr>
                <w:spacing w:val="15"/>
                <w:highlight w:val="none"/>
                <w:u w:val="single" w:color="auto"/>
              </w:rPr>
              <w:t xml:space="preserve"> </w:t>
            </w:r>
            <w:r>
              <w:rPr>
                <w:spacing w:val="-4"/>
                <w:highlight w:val="none"/>
              </w:rPr>
              <w:t>分</w:t>
            </w:r>
          </w:p>
        </w:tc>
        <w:tc>
          <w:tcPr>
            <w:tcW w:w="3796" w:type="dxa"/>
            <w:vAlign w:val="top"/>
          </w:tcPr>
          <w:p w14:paraId="76437621">
            <w:pPr>
              <w:pStyle w:val="9"/>
              <w:spacing w:before="225" w:line="289" w:lineRule="auto"/>
              <w:ind w:left="115" w:right="107" w:firstLine="4"/>
              <w:rPr>
                <w:highlight w:val="none"/>
              </w:rPr>
            </w:pPr>
            <w:r>
              <w:rPr>
                <w:spacing w:val="9"/>
                <w:highlight w:val="none"/>
              </w:rPr>
              <w:t>设计的质量、进度、安全保证措施基本</w:t>
            </w:r>
            <w:r>
              <w:rPr>
                <w:spacing w:val="10"/>
                <w:highlight w:val="none"/>
              </w:rPr>
              <w:t xml:space="preserve"> </w:t>
            </w:r>
            <w:r>
              <w:rPr>
                <w:spacing w:val="7"/>
                <w:highlight w:val="none"/>
              </w:rPr>
              <w:t>可行得</w:t>
            </w:r>
            <w:r>
              <w:rPr>
                <w:spacing w:val="-23"/>
                <w:highlight w:val="none"/>
              </w:rPr>
              <w:t xml:space="preserve"> </w:t>
            </w:r>
            <w:r>
              <w:rPr>
                <w:spacing w:val="7"/>
                <w:highlight w:val="none"/>
              </w:rPr>
              <w:t>3.0</w:t>
            </w:r>
            <w:r>
              <w:rPr>
                <w:spacing w:val="-38"/>
                <w:highlight w:val="none"/>
              </w:rPr>
              <w:t xml:space="preserve"> </w:t>
            </w:r>
            <w:r>
              <w:rPr>
                <w:spacing w:val="7"/>
                <w:highlight w:val="none"/>
              </w:rPr>
              <w:t>分，措施可行，所采用的措</w:t>
            </w:r>
            <w:r>
              <w:rPr>
                <w:highlight w:val="none"/>
              </w:rPr>
              <w:t xml:space="preserve"> </w:t>
            </w:r>
            <w:r>
              <w:rPr>
                <w:spacing w:val="9"/>
                <w:highlight w:val="none"/>
              </w:rPr>
              <w:t>施能够提高设计质量、加快设计进度、</w:t>
            </w:r>
            <w:r>
              <w:rPr>
                <w:spacing w:val="14"/>
                <w:highlight w:val="none"/>
              </w:rPr>
              <w:t xml:space="preserve"> </w:t>
            </w:r>
            <w:r>
              <w:rPr>
                <w:highlight w:val="none"/>
              </w:rPr>
              <w:t>保证设计安全的，酌情加分，最高加</w:t>
            </w:r>
            <w:r>
              <w:rPr>
                <w:spacing w:val="-34"/>
                <w:highlight w:val="none"/>
              </w:rPr>
              <w:t xml:space="preserve"> </w:t>
            </w:r>
            <w:r>
              <w:rPr>
                <w:highlight w:val="none"/>
              </w:rPr>
              <w:t>2.0 分。</w:t>
            </w:r>
          </w:p>
        </w:tc>
      </w:tr>
      <w:tr w14:paraId="4BFD3D0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7" w:hRule="atLeast"/>
        </w:trPr>
        <w:tc>
          <w:tcPr>
            <w:tcW w:w="1133" w:type="dxa"/>
            <w:vMerge w:val="continue"/>
            <w:tcBorders>
              <w:top w:val="nil"/>
            </w:tcBorders>
            <w:vAlign w:val="top"/>
          </w:tcPr>
          <w:p w14:paraId="0D5CB96C"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1275" w:type="dxa"/>
            <w:vMerge w:val="continue"/>
            <w:tcBorders>
              <w:top w:val="nil"/>
            </w:tcBorders>
            <w:vAlign w:val="top"/>
          </w:tcPr>
          <w:p w14:paraId="7C3B5912"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936" w:type="dxa"/>
            <w:vMerge w:val="continue"/>
            <w:tcBorders>
              <w:top w:val="nil"/>
            </w:tcBorders>
            <w:vAlign w:val="top"/>
          </w:tcPr>
          <w:p w14:paraId="3F8F88DB"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1594" w:type="dxa"/>
            <w:vAlign w:val="top"/>
          </w:tcPr>
          <w:p w14:paraId="690C1769">
            <w:pPr>
              <w:spacing w:line="261" w:lineRule="auto"/>
              <w:rPr>
                <w:rFonts w:ascii="Arial"/>
                <w:sz w:val="21"/>
                <w:highlight w:val="none"/>
              </w:rPr>
            </w:pPr>
          </w:p>
          <w:p w14:paraId="0463F224">
            <w:pPr>
              <w:pStyle w:val="9"/>
              <w:spacing w:before="65" w:line="280" w:lineRule="auto"/>
              <w:ind w:left="112" w:right="106" w:firstLine="1"/>
              <w:rPr>
                <w:highlight w:val="none"/>
              </w:rPr>
            </w:pPr>
            <w:r>
              <w:rPr>
                <w:spacing w:val="19"/>
                <w:highlight w:val="none"/>
              </w:rPr>
              <w:t>后续服务</w:t>
            </w:r>
            <w:r>
              <w:rPr>
                <w:spacing w:val="-48"/>
                <w:highlight w:val="none"/>
              </w:rPr>
              <w:t xml:space="preserve"> </w:t>
            </w:r>
            <w:r>
              <w:rPr>
                <w:spacing w:val="19"/>
                <w:highlight w:val="none"/>
              </w:rPr>
              <w:t>的安</w:t>
            </w:r>
            <w:r>
              <w:rPr>
                <w:highlight w:val="none"/>
              </w:rPr>
              <w:t xml:space="preserve"> </w:t>
            </w:r>
            <w:r>
              <w:rPr>
                <w:spacing w:val="8"/>
                <w:highlight w:val="none"/>
              </w:rPr>
              <w:t>排及保证措施</w:t>
            </w:r>
          </w:p>
        </w:tc>
        <w:tc>
          <w:tcPr>
            <w:tcW w:w="851" w:type="dxa"/>
            <w:vAlign w:val="top"/>
          </w:tcPr>
          <w:p w14:paraId="77644587">
            <w:pPr>
              <w:spacing w:line="418" w:lineRule="auto"/>
              <w:rPr>
                <w:rFonts w:ascii="Arial"/>
                <w:sz w:val="21"/>
                <w:highlight w:val="none"/>
              </w:rPr>
            </w:pPr>
          </w:p>
          <w:p w14:paraId="4DCB618F">
            <w:pPr>
              <w:pStyle w:val="9"/>
              <w:tabs>
                <w:tab w:val="left" w:pos="278"/>
              </w:tabs>
              <w:spacing w:before="65" w:line="228" w:lineRule="auto"/>
              <w:ind w:left="161"/>
              <w:rPr>
                <w:highlight w:val="none"/>
              </w:rPr>
            </w:pPr>
            <w:r>
              <w:rPr>
                <w:highlight w:val="none"/>
                <w:u w:val="single" w:color="auto"/>
              </w:rPr>
              <w:tab/>
            </w:r>
            <w:r>
              <w:rPr>
                <w:spacing w:val="-4"/>
                <w:highlight w:val="none"/>
                <w:u w:val="single" w:color="auto"/>
              </w:rPr>
              <w:t>5</w:t>
            </w:r>
            <w:r>
              <w:rPr>
                <w:spacing w:val="15"/>
                <w:highlight w:val="none"/>
                <w:u w:val="single" w:color="auto"/>
              </w:rPr>
              <w:t xml:space="preserve"> </w:t>
            </w:r>
            <w:r>
              <w:rPr>
                <w:spacing w:val="-4"/>
                <w:highlight w:val="none"/>
              </w:rPr>
              <w:t>分</w:t>
            </w:r>
          </w:p>
        </w:tc>
        <w:tc>
          <w:tcPr>
            <w:tcW w:w="3796" w:type="dxa"/>
            <w:vAlign w:val="top"/>
          </w:tcPr>
          <w:p w14:paraId="185A4255">
            <w:pPr>
              <w:pStyle w:val="9"/>
              <w:spacing w:before="165" w:line="286" w:lineRule="auto"/>
              <w:ind w:left="115" w:right="109" w:firstLine="2"/>
              <w:jc w:val="both"/>
              <w:rPr>
                <w:highlight w:val="none"/>
              </w:rPr>
            </w:pPr>
            <w:r>
              <w:rPr>
                <w:spacing w:val="9"/>
                <w:highlight w:val="none"/>
              </w:rPr>
              <w:t>后续服务的安排及保证措施基本可行得</w:t>
            </w:r>
            <w:r>
              <w:rPr>
                <w:spacing w:val="5"/>
                <w:highlight w:val="none"/>
              </w:rPr>
              <w:t xml:space="preserve"> </w:t>
            </w:r>
            <w:r>
              <w:rPr>
                <w:spacing w:val="11"/>
                <w:highlight w:val="none"/>
              </w:rPr>
              <w:t>3.0</w:t>
            </w:r>
            <w:r>
              <w:rPr>
                <w:spacing w:val="-33"/>
                <w:highlight w:val="none"/>
              </w:rPr>
              <w:t xml:space="preserve"> </w:t>
            </w:r>
            <w:r>
              <w:rPr>
                <w:spacing w:val="11"/>
                <w:highlight w:val="none"/>
              </w:rPr>
              <w:t>分，可行且能够快速的协助发包人</w:t>
            </w:r>
            <w:r>
              <w:rPr>
                <w:highlight w:val="none"/>
              </w:rPr>
              <w:t xml:space="preserve"> </w:t>
            </w:r>
            <w:r>
              <w:rPr>
                <w:spacing w:val="6"/>
                <w:highlight w:val="none"/>
              </w:rPr>
              <w:t>解决问题，酌情加分，最高加</w:t>
            </w:r>
            <w:r>
              <w:rPr>
                <w:spacing w:val="-21"/>
                <w:highlight w:val="none"/>
              </w:rPr>
              <w:t xml:space="preserve"> </w:t>
            </w:r>
            <w:r>
              <w:rPr>
                <w:spacing w:val="6"/>
                <w:highlight w:val="none"/>
              </w:rPr>
              <w:t>2.0</w:t>
            </w:r>
            <w:r>
              <w:rPr>
                <w:spacing w:val="-38"/>
                <w:highlight w:val="none"/>
              </w:rPr>
              <w:t xml:space="preserve"> </w:t>
            </w:r>
            <w:r>
              <w:rPr>
                <w:spacing w:val="6"/>
                <w:highlight w:val="none"/>
              </w:rPr>
              <w:t>分。</w:t>
            </w:r>
          </w:p>
        </w:tc>
      </w:tr>
      <w:tr w14:paraId="1F8E386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2" w:hRule="atLeast"/>
        </w:trPr>
        <w:tc>
          <w:tcPr>
            <w:tcW w:w="1133" w:type="dxa"/>
            <w:vAlign w:val="top"/>
          </w:tcPr>
          <w:p w14:paraId="5849178F">
            <w:pPr>
              <w:spacing w:line="241" w:lineRule="auto"/>
              <w:rPr>
                <w:rFonts w:ascii="Arial"/>
                <w:sz w:val="21"/>
                <w:highlight w:val="none"/>
              </w:rPr>
            </w:pPr>
          </w:p>
          <w:p w14:paraId="3F8BA90D">
            <w:pPr>
              <w:spacing w:line="242" w:lineRule="auto"/>
              <w:rPr>
                <w:rFonts w:ascii="Arial"/>
                <w:sz w:val="21"/>
                <w:highlight w:val="none"/>
              </w:rPr>
            </w:pPr>
          </w:p>
          <w:p w14:paraId="33118267">
            <w:pPr>
              <w:spacing w:line="242" w:lineRule="auto"/>
              <w:rPr>
                <w:rFonts w:ascii="Arial"/>
                <w:sz w:val="21"/>
                <w:highlight w:val="none"/>
              </w:rPr>
            </w:pPr>
          </w:p>
          <w:p w14:paraId="3904E330">
            <w:pPr>
              <w:pStyle w:val="9"/>
              <w:spacing w:before="65"/>
              <w:ind w:right="12"/>
              <w:jc w:val="right"/>
              <w:rPr>
                <w:highlight w:val="none"/>
              </w:rPr>
            </w:pPr>
            <w:r>
              <w:rPr>
                <w:spacing w:val="-1"/>
                <w:highlight w:val="none"/>
              </w:rPr>
              <w:t>2.2.4（2）</w:t>
            </w:r>
          </w:p>
        </w:tc>
        <w:tc>
          <w:tcPr>
            <w:tcW w:w="1275" w:type="dxa"/>
            <w:vAlign w:val="top"/>
          </w:tcPr>
          <w:p w14:paraId="05C550D2">
            <w:pPr>
              <w:spacing w:line="241" w:lineRule="auto"/>
              <w:rPr>
                <w:rFonts w:ascii="Arial"/>
                <w:sz w:val="21"/>
                <w:highlight w:val="none"/>
              </w:rPr>
            </w:pPr>
          </w:p>
          <w:p w14:paraId="4EF6D8E2">
            <w:pPr>
              <w:spacing w:line="242" w:lineRule="auto"/>
              <w:rPr>
                <w:rFonts w:ascii="Arial"/>
                <w:sz w:val="21"/>
                <w:highlight w:val="none"/>
              </w:rPr>
            </w:pPr>
          </w:p>
          <w:p w14:paraId="7DF79EB2">
            <w:pPr>
              <w:spacing w:line="242" w:lineRule="auto"/>
              <w:rPr>
                <w:rFonts w:ascii="Arial"/>
                <w:sz w:val="21"/>
                <w:highlight w:val="none"/>
              </w:rPr>
            </w:pPr>
          </w:p>
          <w:p w14:paraId="797309D4">
            <w:pPr>
              <w:pStyle w:val="9"/>
              <w:spacing w:before="65" w:line="229" w:lineRule="auto"/>
              <w:ind w:left="223"/>
              <w:rPr>
                <w:highlight w:val="none"/>
              </w:rPr>
            </w:pPr>
            <w:r>
              <w:rPr>
                <w:spacing w:val="6"/>
                <w:highlight w:val="none"/>
              </w:rPr>
              <w:t>主要人员</w:t>
            </w:r>
          </w:p>
        </w:tc>
        <w:tc>
          <w:tcPr>
            <w:tcW w:w="936" w:type="dxa"/>
            <w:vAlign w:val="top"/>
          </w:tcPr>
          <w:p w14:paraId="247445EB">
            <w:pPr>
              <w:spacing w:line="242" w:lineRule="auto"/>
              <w:rPr>
                <w:rFonts w:ascii="Arial"/>
                <w:sz w:val="21"/>
                <w:highlight w:val="none"/>
              </w:rPr>
            </w:pPr>
          </w:p>
          <w:p w14:paraId="10CBBB64">
            <w:pPr>
              <w:spacing w:line="242" w:lineRule="auto"/>
              <w:rPr>
                <w:rFonts w:ascii="Arial"/>
                <w:sz w:val="21"/>
                <w:highlight w:val="none"/>
              </w:rPr>
            </w:pPr>
          </w:p>
          <w:p w14:paraId="5E123579">
            <w:pPr>
              <w:spacing w:line="242" w:lineRule="auto"/>
              <w:rPr>
                <w:rFonts w:ascii="Arial"/>
                <w:sz w:val="21"/>
                <w:highlight w:val="none"/>
              </w:rPr>
            </w:pPr>
          </w:p>
          <w:p w14:paraId="6B9EE2EA">
            <w:pPr>
              <w:pStyle w:val="9"/>
              <w:tabs>
                <w:tab w:val="left" w:pos="263"/>
              </w:tabs>
              <w:spacing w:before="65" w:line="228" w:lineRule="auto"/>
              <w:ind w:left="149"/>
              <w:rPr>
                <w:highlight w:val="none"/>
              </w:rPr>
            </w:pPr>
            <w:r>
              <w:rPr>
                <w:highlight w:val="none"/>
                <w:u w:val="single" w:color="auto"/>
              </w:rPr>
              <w:tab/>
            </w:r>
            <w:r>
              <w:rPr>
                <w:spacing w:val="-1"/>
                <w:highlight w:val="none"/>
                <w:u w:val="single" w:color="auto"/>
              </w:rPr>
              <w:t>25</w:t>
            </w:r>
            <w:r>
              <w:rPr>
                <w:spacing w:val="19"/>
                <w:highlight w:val="none"/>
                <w:u w:val="single" w:color="auto"/>
              </w:rPr>
              <w:t xml:space="preserve"> </w:t>
            </w:r>
            <w:r>
              <w:rPr>
                <w:spacing w:val="-1"/>
                <w:highlight w:val="none"/>
              </w:rPr>
              <w:t>分</w:t>
            </w:r>
          </w:p>
        </w:tc>
        <w:tc>
          <w:tcPr>
            <w:tcW w:w="1594" w:type="dxa"/>
            <w:vAlign w:val="top"/>
          </w:tcPr>
          <w:p w14:paraId="0EAFED5A">
            <w:pPr>
              <w:spacing w:line="283" w:lineRule="auto"/>
              <w:rPr>
                <w:rFonts w:ascii="Arial"/>
                <w:sz w:val="21"/>
                <w:highlight w:val="none"/>
              </w:rPr>
            </w:pPr>
          </w:p>
          <w:p w14:paraId="733E36BD">
            <w:pPr>
              <w:spacing w:line="283" w:lineRule="auto"/>
              <w:rPr>
                <w:rFonts w:ascii="Arial"/>
                <w:sz w:val="21"/>
                <w:highlight w:val="none"/>
              </w:rPr>
            </w:pPr>
          </w:p>
          <w:p w14:paraId="4B36BCA4">
            <w:pPr>
              <w:pStyle w:val="9"/>
              <w:spacing w:before="65" w:line="282" w:lineRule="auto"/>
              <w:ind w:left="113" w:right="106" w:firstLine="2"/>
              <w:rPr>
                <w:highlight w:val="none"/>
              </w:rPr>
            </w:pPr>
            <w:r>
              <w:rPr>
                <w:spacing w:val="8"/>
                <w:highlight w:val="none"/>
              </w:rPr>
              <w:t>项目负责人任</w:t>
            </w:r>
            <w:r>
              <w:rPr>
                <w:highlight w:val="none"/>
              </w:rPr>
              <w:t xml:space="preserve"> </w:t>
            </w:r>
            <w:r>
              <w:rPr>
                <w:spacing w:val="8"/>
                <w:highlight w:val="none"/>
              </w:rPr>
              <w:t>职资格与业绩</w:t>
            </w:r>
          </w:p>
        </w:tc>
        <w:tc>
          <w:tcPr>
            <w:tcW w:w="851" w:type="dxa"/>
            <w:vAlign w:val="top"/>
          </w:tcPr>
          <w:p w14:paraId="08416F2F">
            <w:pPr>
              <w:spacing w:line="242" w:lineRule="auto"/>
              <w:rPr>
                <w:rFonts w:ascii="Arial"/>
                <w:sz w:val="21"/>
                <w:highlight w:val="none"/>
              </w:rPr>
            </w:pPr>
          </w:p>
          <w:p w14:paraId="1D16C6E4">
            <w:pPr>
              <w:spacing w:line="242" w:lineRule="auto"/>
              <w:rPr>
                <w:rFonts w:ascii="Arial"/>
                <w:sz w:val="21"/>
                <w:highlight w:val="none"/>
              </w:rPr>
            </w:pPr>
          </w:p>
          <w:p w14:paraId="7E2EC4CD">
            <w:pPr>
              <w:spacing w:line="242" w:lineRule="auto"/>
              <w:rPr>
                <w:rFonts w:ascii="Arial"/>
                <w:sz w:val="21"/>
                <w:highlight w:val="none"/>
              </w:rPr>
            </w:pPr>
          </w:p>
          <w:p w14:paraId="5F3F86B7">
            <w:pPr>
              <w:pStyle w:val="9"/>
              <w:tabs>
                <w:tab w:val="left" w:pos="225"/>
              </w:tabs>
              <w:spacing w:before="65" w:line="228" w:lineRule="auto"/>
              <w:ind w:left="108"/>
              <w:rPr>
                <w:highlight w:val="none"/>
              </w:rPr>
            </w:pPr>
            <w:r>
              <w:rPr>
                <w:highlight w:val="none"/>
                <w:u w:val="single" w:color="auto"/>
              </w:rPr>
              <w:tab/>
            </w:r>
            <w:r>
              <w:rPr>
                <w:spacing w:val="-1"/>
                <w:highlight w:val="none"/>
                <w:u w:val="single" w:color="auto"/>
              </w:rPr>
              <w:t>25</w:t>
            </w:r>
            <w:r>
              <w:rPr>
                <w:spacing w:val="16"/>
                <w:highlight w:val="none"/>
                <w:u w:val="single" w:color="auto"/>
              </w:rPr>
              <w:t xml:space="preserve"> </w:t>
            </w:r>
            <w:r>
              <w:rPr>
                <w:spacing w:val="-1"/>
                <w:highlight w:val="none"/>
              </w:rPr>
              <w:t>分</w:t>
            </w:r>
          </w:p>
        </w:tc>
        <w:tc>
          <w:tcPr>
            <w:tcW w:w="3796" w:type="dxa"/>
            <w:vAlign w:val="top"/>
          </w:tcPr>
          <w:p w14:paraId="6C604599">
            <w:pPr>
              <w:pStyle w:val="9"/>
              <w:spacing w:before="32" w:line="286" w:lineRule="auto"/>
              <w:ind w:left="115" w:right="114"/>
              <w:jc w:val="both"/>
              <w:rPr>
                <w:rFonts w:hint="eastAsia" w:ascii="宋体" w:hAnsi="宋体" w:eastAsia="宋体" w:cs="宋体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highlight w:val="none"/>
              </w:rPr>
              <w:t>满足最低资格条件得15</w:t>
            </w:r>
            <w:r>
              <w:rPr>
                <w:rFonts w:ascii="宋体" w:hAnsi="宋体" w:cs="宋体"/>
                <w:highlight w:val="none"/>
              </w:rPr>
              <w:t>.0</w:t>
            </w:r>
            <w:r>
              <w:rPr>
                <w:rFonts w:hint="eastAsia" w:ascii="宋体" w:hAnsi="宋体" w:cs="宋体"/>
                <w:highlight w:val="none"/>
              </w:rPr>
              <w:t>分</w:t>
            </w:r>
            <w:r>
              <w:rPr>
                <w:rFonts w:hint="eastAsia" w:cs="宋体"/>
                <w:highlight w:val="none"/>
                <w:lang w:eastAsia="zh-CN"/>
              </w:rPr>
              <w:t>。</w:t>
            </w:r>
          </w:p>
          <w:p w14:paraId="69B99407">
            <w:pPr>
              <w:pStyle w:val="9"/>
              <w:spacing w:before="32" w:line="286" w:lineRule="auto"/>
              <w:ind w:left="115" w:right="114"/>
              <w:jc w:val="both"/>
              <w:rPr>
                <w:highlight w:val="none"/>
              </w:rPr>
            </w:pPr>
            <w:r>
              <w:rPr>
                <w:rFonts w:hint="eastAsia" w:ascii="宋体" w:hAnsi="宋体" w:cs="宋体"/>
                <w:highlight w:val="none"/>
                <w:lang w:val="en-US" w:eastAsia="zh-CN"/>
              </w:rPr>
              <w:t>具有</w:t>
            </w:r>
            <w:r>
              <w:rPr>
                <w:rFonts w:hint="eastAsia" w:cs="宋体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highlight w:val="none"/>
                <w:lang w:val="en-US" w:eastAsia="zh-CN"/>
              </w:rPr>
              <w:t>项</w:t>
            </w:r>
            <w:r>
              <w:rPr>
                <w:rFonts w:hint="eastAsia"/>
                <w:highlight w:val="none"/>
              </w:rPr>
              <w:t>以</w:t>
            </w:r>
            <w:r>
              <w:rPr>
                <w:highlight w:val="none"/>
              </w:rPr>
              <w:t>项目负责人身份完成的</w:t>
            </w:r>
            <w:r>
              <w:rPr>
                <w:rFonts w:hint="eastAsia" w:cs="宋体"/>
                <w:highlight w:val="none"/>
                <w:lang w:val="en-US" w:eastAsia="zh-CN"/>
              </w:rPr>
              <w:t>一</w:t>
            </w:r>
            <w:r>
              <w:rPr>
                <w:rFonts w:hint="eastAsia" w:ascii="宋体" w:hAnsi="宋体" w:cs="宋体"/>
                <w:highlight w:val="none"/>
                <w:lang w:val="en-US" w:eastAsia="zh-CN"/>
              </w:rPr>
              <w:t>级及以上</w:t>
            </w:r>
            <w:r>
              <w:rPr>
                <w:highlight w:val="none"/>
              </w:rPr>
              <w:t>公路</w:t>
            </w:r>
            <w:r>
              <w:rPr>
                <w:rFonts w:hint="eastAsia"/>
                <w:highlight w:val="none"/>
              </w:rPr>
              <w:t>工程勘察设计业绩</w:t>
            </w:r>
            <w:r>
              <w:rPr>
                <w:rFonts w:hint="eastAsia"/>
                <w:highlight w:val="none"/>
                <w:lang w:val="en-US" w:eastAsia="zh-CN"/>
              </w:rPr>
              <w:t>得5分，2项业绩得10分，</w:t>
            </w:r>
            <w:r>
              <w:rPr>
                <w:rFonts w:hint="eastAsia" w:cs="宋体"/>
                <w:highlight w:val="none"/>
                <w:lang w:val="en-US" w:eastAsia="zh-CN"/>
              </w:rPr>
              <w:t>本项满分25分</w:t>
            </w:r>
            <w:r>
              <w:rPr>
                <w:rFonts w:hint="eastAsia" w:ascii="宋体" w:hAnsi="宋体" w:cs="宋体"/>
                <w:highlight w:val="none"/>
              </w:rPr>
              <w:t>。</w:t>
            </w:r>
          </w:p>
        </w:tc>
      </w:tr>
      <w:tr w14:paraId="0725229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8" w:hRule="atLeast"/>
        </w:trPr>
        <w:tc>
          <w:tcPr>
            <w:tcW w:w="1133" w:type="dxa"/>
            <w:vAlign w:val="top"/>
          </w:tcPr>
          <w:p w14:paraId="6AF535E2">
            <w:pPr>
              <w:spacing w:line="245" w:lineRule="auto"/>
              <w:rPr>
                <w:rFonts w:ascii="Arial"/>
                <w:sz w:val="21"/>
                <w:highlight w:val="none"/>
              </w:rPr>
            </w:pPr>
          </w:p>
          <w:p w14:paraId="56550DFF">
            <w:pPr>
              <w:spacing w:line="245" w:lineRule="auto"/>
              <w:rPr>
                <w:rFonts w:ascii="Arial"/>
                <w:sz w:val="21"/>
                <w:highlight w:val="none"/>
              </w:rPr>
            </w:pPr>
          </w:p>
          <w:p w14:paraId="5AE922C7">
            <w:pPr>
              <w:spacing w:line="245" w:lineRule="auto"/>
              <w:rPr>
                <w:rFonts w:ascii="Arial"/>
                <w:sz w:val="21"/>
                <w:highlight w:val="none"/>
              </w:rPr>
            </w:pPr>
          </w:p>
          <w:p w14:paraId="2B1BD384">
            <w:pPr>
              <w:spacing w:line="246" w:lineRule="auto"/>
              <w:rPr>
                <w:rFonts w:ascii="Arial"/>
                <w:sz w:val="21"/>
                <w:highlight w:val="none"/>
              </w:rPr>
            </w:pPr>
          </w:p>
          <w:p w14:paraId="2C707230">
            <w:pPr>
              <w:pStyle w:val="9"/>
              <w:spacing w:before="65"/>
              <w:ind w:right="12"/>
              <w:jc w:val="right"/>
              <w:rPr>
                <w:highlight w:val="none"/>
              </w:rPr>
            </w:pPr>
            <w:r>
              <w:rPr>
                <w:spacing w:val="-1"/>
                <w:highlight w:val="none"/>
              </w:rPr>
              <w:t>2.2.4（3）</w:t>
            </w:r>
          </w:p>
        </w:tc>
        <w:tc>
          <w:tcPr>
            <w:tcW w:w="1275" w:type="dxa"/>
            <w:vAlign w:val="top"/>
          </w:tcPr>
          <w:p w14:paraId="6762DF1B">
            <w:pPr>
              <w:spacing w:line="245" w:lineRule="auto"/>
              <w:rPr>
                <w:rFonts w:ascii="Arial"/>
                <w:sz w:val="21"/>
                <w:highlight w:val="none"/>
              </w:rPr>
            </w:pPr>
          </w:p>
          <w:p w14:paraId="6A58A4EC">
            <w:pPr>
              <w:spacing w:line="245" w:lineRule="auto"/>
              <w:rPr>
                <w:rFonts w:ascii="Arial"/>
                <w:sz w:val="21"/>
                <w:highlight w:val="none"/>
              </w:rPr>
            </w:pPr>
          </w:p>
          <w:p w14:paraId="3E3845FE">
            <w:pPr>
              <w:spacing w:line="245" w:lineRule="auto"/>
              <w:rPr>
                <w:rFonts w:ascii="Arial"/>
                <w:sz w:val="21"/>
                <w:highlight w:val="none"/>
              </w:rPr>
            </w:pPr>
          </w:p>
          <w:p w14:paraId="555B24A5">
            <w:pPr>
              <w:spacing w:line="246" w:lineRule="auto"/>
              <w:rPr>
                <w:rFonts w:ascii="Arial"/>
                <w:sz w:val="21"/>
                <w:highlight w:val="none"/>
              </w:rPr>
            </w:pPr>
          </w:p>
          <w:p w14:paraId="60DF6563">
            <w:pPr>
              <w:pStyle w:val="9"/>
              <w:spacing w:before="65" w:line="226" w:lineRule="auto"/>
              <w:ind w:left="326"/>
              <w:rPr>
                <w:highlight w:val="none"/>
              </w:rPr>
            </w:pPr>
            <w:r>
              <w:rPr>
                <w:spacing w:val="7"/>
                <w:highlight w:val="none"/>
              </w:rPr>
              <w:t>评标价</w:t>
            </w:r>
          </w:p>
        </w:tc>
        <w:tc>
          <w:tcPr>
            <w:tcW w:w="936" w:type="dxa"/>
            <w:vAlign w:val="top"/>
          </w:tcPr>
          <w:p w14:paraId="205969FC">
            <w:pPr>
              <w:spacing w:line="245" w:lineRule="auto"/>
              <w:rPr>
                <w:rFonts w:ascii="Arial"/>
                <w:sz w:val="21"/>
                <w:highlight w:val="none"/>
              </w:rPr>
            </w:pPr>
          </w:p>
          <w:p w14:paraId="1494F0F7">
            <w:pPr>
              <w:spacing w:line="245" w:lineRule="auto"/>
              <w:rPr>
                <w:rFonts w:ascii="Arial"/>
                <w:sz w:val="21"/>
                <w:highlight w:val="none"/>
              </w:rPr>
            </w:pPr>
          </w:p>
          <w:p w14:paraId="75757ABA">
            <w:pPr>
              <w:spacing w:line="245" w:lineRule="auto"/>
              <w:rPr>
                <w:rFonts w:ascii="Arial"/>
                <w:sz w:val="21"/>
                <w:highlight w:val="none"/>
              </w:rPr>
            </w:pPr>
          </w:p>
          <w:p w14:paraId="00B7B03D">
            <w:pPr>
              <w:spacing w:line="246" w:lineRule="auto"/>
              <w:rPr>
                <w:rFonts w:ascii="Arial"/>
                <w:sz w:val="21"/>
                <w:highlight w:val="none"/>
              </w:rPr>
            </w:pPr>
          </w:p>
          <w:p w14:paraId="6E08ED5B">
            <w:pPr>
              <w:pStyle w:val="9"/>
              <w:tabs>
                <w:tab w:val="left" w:pos="277"/>
              </w:tabs>
              <w:spacing w:before="65" w:line="228" w:lineRule="auto"/>
              <w:ind w:left="149"/>
              <w:rPr>
                <w:highlight w:val="none"/>
              </w:rPr>
            </w:pPr>
            <w:r>
              <w:rPr>
                <w:highlight w:val="none"/>
                <w:u w:val="single" w:color="auto"/>
              </w:rPr>
              <w:tab/>
            </w:r>
            <w:r>
              <w:rPr>
                <w:spacing w:val="-5"/>
                <w:highlight w:val="none"/>
                <w:u w:val="single" w:color="auto"/>
              </w:rPr>
              <w:t>10</w:t>
            </w:r>
            <w:r>
              <w:rPr>
                <w:spacing w:val="18"/>
                <w:highlight w:val="none"/>
                <w:u w:val="single" w:color="auto"/>
              </w:rPr>
              <w:t xml:space="preserve"> </w:t>
            </w:r>
            <w:r>
              <w:rPr>
                <w:spacing w:val="-5"/>
                <w:highlight w:val="none"/>
              </w:rPr>
              <w:t>分</w:t>
            </w:r>
          </w:p>
        </w:tc>
        <w:tc>
          <w:tcPr>
            <w:tcW w:w="6241" w:type="dxa"/>
            <w:gridSpan w:val="3"/>
            <w:vAlign w:val="top"/>
          </w:tcPr>
          <w:p w14:paraId="352A2BA7">
            <w:pPr>
              <w:pStyle w:val="9"/>
              <w:spacing w:before="250" w:line="226" w:lineRule="auto"/>
              <w:ind w:left="115"/>
              <w:rPr>
                <w:highlight w:val="none"/>
              </w:rPr>
            </w:pPr>
            <w:r>
              <w:rPr>
                <w:spacing w:val="8"/>
                <w:highlight w:val="none"/>
              </w:rPr>
              <w:t>投标价得分计算公式示例：</w:t>
            </w:r>
          </w:p>
          <w:p w14:paraId="7CD3A0D7">
            <w:pPr>
              <w:pStyle w:val="9"/>
              <w:spacing w:before="76" w:line="261" w:lineRule="auto"/>
              <w:ind w:left="114" w:right="147" w:firstLine="8"/>
              <w:rPr>
                <w:highlight w:val="none"/>
              </w:rPr>
            </w:pPr>
            <w:r>
              <w:rPr>
                <w:spacing w:val="8"/>
                <w:highlight w:val="none"/>
              </w:rPr>
              <w:t>（1）如果投标人的评标价＞评标基准价，则评标价得分=10-偏差</w:t>
            </w:r>
            <w:r>
              <w:rPr>
                <w:spacing w:val="16"/>
                <w:highlight w:val="none"/>
              </w:rPr>
              <w:t xml:space="preserve"> </w:t>
            </w:r>
            <w:r>
              <w:rPr>
                <w:spacing w:val="5"/>
                <w:highlight w:val="none"/>
              </w:rPr>
              <w:t>率×100×0.1；</w:t>
            </w:r>
          </w:p>
          <w:p w14:paraId="6F3E57E1">
            <w:pPr>
              <w:pStyle w:val="9"/>
              <w:spacing w:before="73" w:line="262" w:lineRule="auto"/>
              <w:ind w:left="114" w:right="147" w:firstLine="8"/>
              <w:rPr>
                <w:highlight w:val="none"/>
              </w:rPr>
            </w:pPr>
            <w:r>
              <w:rPr>
                <w:spacing w:val="8"/>
                <w:highlight w:val="none"/>
              </w:rPr>
              <w:t>（2）如果投标人的评标价≤评标基准价，则评标价得分=10+偏差</w:t>
            </w:r>
            <w:r>
              <w:rPr>
                <w:spacing w:val="16"/>
                <w:highlight w:val="none"/>
              </w:rPr>
              <w:t xml:space="preserve"> </w:t>
            </w:r>
            <w:r>
              <w:rPr>
                <w:spacing w:val="5"/>
                <w:highlight w:val="none"/>
              </w:rPr>
              <w:t>率×100×0.05；</w:t>
            </w:r>
          </w:p>
          <w:p w14:paraId="315E3C4E">
            <w:pPr>
              <w:pStyle w:val="9"/>
              <w:spacing w:before="72" w:line="226" w:lineRule="auto"/>
              <w:ind w:left="115"/>
              <w:rPr>
                <w:highlight w:val="none"/>
              </w:rPr>
            </w:pPr>
            <w:r>
              <w:rPr>
                <w:spacing w:val="6"/>
                <w:highlight w:val="none"/>
              </w:rPr>
              <w:t>投标价得分最低得分为</w:t>
            </w:r>
            <w:r>
              <w:rPr>
                <w:spacing w:val="-35"/>
                <w:highlight w:val="none"/>
              </w:rPr>
              <w:t xml:space="preserve"> </w:t>
            </w:r>
            <w:r>
              <w:rPr>
                <w:spacing w:val="6"/>
                <w:highlight w:val="none"/>
              </w:rPr>
              <w:t>0</w:t>
            </w:r>
            <w:r>
              <w:rPr>
                <w:spacing w:val="-35"/>
                <w:highlight w:val="none"/>
              </w:rPr>
              <w:t xml:space="preserve"> </w:t>
            </w:r>
            <w:r>
              <w:rPr>
                <w:spacing w:val="6"/>
                <w:highlight w:val="none"/>
              </w:rPr>
              <w:t>分。</w:t>
            </w:r>
          </w:p>
        </w:tc>
      </w:tr>
    </w:tbl>
    <w:p w14:paraId="2EEAB45C">
      <w:pPr>
        <w:pStyle w:val="4"/>
        <w:spacing w:line="312" w:lineRule="auto"/>
        <w:rPr>
          <w:highlight w:val="none"/>
        </w:rPr>
      </w:pPr>
    </w:p>
    <w:p w14:paraId="517B8F95">
      <w:pPr>
        <w:pStyle w:val="4"/>
        <w:spacing w:line="312" w:lineRule="auto"/>
        <w:rPr>
          <w:highlight w:val="none"/>
        </w:rPr>
      </w:pPr>
      <w:r>
        <w:rPr>
          <w:highlight w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150495</wp:posOffset>
                </wp:positionV>
                <wp:extent cx="1828800" cy="0"/>
                <wp:effectExtent l="4445" t="4445" r="5080" b="5080"/>
                <wp:wrapNone/>
                <wp:docPr id="1" name="任意多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2880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0" cap="sq" cmpd="sng">
                          <a:solidFill>
                            <a:srgbClr val="000000"/>
                          </a:solidFill>
                          <a:prstDash val="solid"/>
                          <a:bevel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0pt;margin-top:11.85pt;height:0pt;width:144pt;z-index:251659264;mso-width-relative:page;mso-height-relative:page;" filled="f" stroked="t" coordsize="2880,0" o:gfxdata="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CF/lkXT&#10;AAAABgEAAA8AAAAAAAAAAQAgAAAAIgAAAGRycy9kb3ducmV2LnhtbFBLAQIUABQAAAAIAIdO4kB9&#10;AVv8JQIAAIcEAAAOAAAAAAAAAAEAIAAAACIBAABkcnMvZTJvRG9jLnhtbFBLBQYAAAAABgAGAFkB&#10;AAC5BQAAAAA=&#10;" path="m0,0l2880,0e">
                <v:fill on="f" focussize="0,0"/>
                <v:stroke weight="0pt" color="#000000" miterlimit="0" joinstyle="bevel" endcap="square"/>
                <v:imagedata o:title=""/>
                <o:lock v:ext="edit"/>
              </v:shape>
            </w:pict>
          </mc:Fallback>
        </mc:AlternateContent>
      </w:r>
    </w:p>
    <w:p w14:paraId="2DB40ECC">
      <w:pPr>
        <w:spacing w:before="59" w:line="236" w:lineRule="auto"/>
        <w:ind w:left="13" w:hanging="10"/>
        <w:rPr>
          <w:rFonts w:ascii="宋体" w:hAnsi="宋体" w:eastAsia="宋体" w:cs="宋体"/>
          <w:sz w:val="18"/>
          <w:szCs w:val="18"/>
          <w:highlight w:val="none"/>
        </w:rPr>
        <w:sectPr>
          <w:footerReference r:id="rId7" w:type="default"/>
          <w:pgSz w:w="11900" w:h="16840"/>
          <w:pgMar w:top="852" w:right="1080" w:bottom="1041" w:left="1080" w:header="0" w:footer="854" w:gutter="0"/>
          <w:cols w:space="720" w:num="1"/>
        </w:sectPr>
      </w:pPr>
      <w:bookmarkStart w:id="8" w:name="bookmark87"/>
      <w:bookmarkEnd w:id="8"/>
      <w:r>
        <w:rPr>
          <w:rFonts w:ascii="宋体" w:hAnsi="宋体" w:eastAsia="宋体" w:cs="宋体"/>
          <w:spacing w:val="-1"/>
          <w:position w:val="9"/>
          <w:sz w:val="8"/>
          <w:szCs w:val="8"/>
          <w:highlight w:val="none"/>
        </w:rPr>
        <w:t>①</w:t>
      </w:r>
      <w:r>
        <w:rPr>
          <w:rFonts w:ascii="宋体" w:hAnsi="宋体" w:eastAsia="宋体" w:cs="宋体"/>
          <w:spacing w:val="-1"/>
          <w:sz w:val="18"/>
          <w:szCs w:val="18"/>
          <w:highlight w:val="none"/>
        </w:rPr>
        <w:t>各评分因素（评标价和履约信誉评分项除外）得分一般不</w:t>
      </w:r>
      <w:r>
        <w:rPr>
          <w:rFonts w:ascii="宋体" w:hAnsi="宋体" w:eastAsia="宋体" w:cs="宋体"/>
          <w:spacing w:val="-2"/>
          <w:sz w:val="18"/>
          <w:szCs w:val="18"/>
          <w:highlight w:val="none"/>
        </w:rPr>
        <w:t>得低于其权重分值的</w:t>
      </w:r>
      <w:r>
        <w:rPr>
          <w:rFonts w:ascii="宋体" w:hAnsi="宋体" w:eastAsia="宋体" w:cs="宋体"/>
          <w:spacing w:val="-39"/>
          <w:sz w:val="18"/>
          <w:szCs w:val="1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18"/>
          <w:szCs w:val="18"/>
          <w:highlight w:val="none"/>
        </w:rPr>
        <w:t>60%</w:t>
      </w:r>
      <w:r>
        <w:rPr>
          <w:rFonts w:ascii="宋体" w:hAnsi="宋体" w:eastAsia="宋体" w:cs="宋体"/>
          <w:spacing w:val="-2"/>
          <w:sz w:val="18"/>
          <w:szCs w:val="18"/>
          <w:highlight w:val="none"/>
        </w:rPr>
        <w:t>，且各评分因素得分应以评标委员会各成</w:t>
      </w:r>
      <w:r>
        <w:rPr>
          <w:rFonts w:ascii="宋体" w:hAnsi="宋体" w:eastAsia="宋体" w:cs="宋体"/>
          <w:sz w:val="18"/>
          <w:szCs w:val="18"/>
          <w:highlight w:val="none"/>
        </w:rPr>
        <w:t xml:space="preserve"> 员的打分平均值确定。评标委员会成员对某一项评分因素的评</w:t>
      </w:r>
      <w:r>
        <w:rPr>
          <w:rFonts w:ascii="宋体" w:hAnsi="宋体" w:eastAsia="宋体" w:cs="宋体"/>
          <w:spacing w:val="-1"/>
          <w:sz w:val="18"/>
          <w:szCs w:val="18"/>
          <w:highlight w:val="none"/>
        </w:rPr>
        <w:t>分低于权重分值</w:t>
      </w:r>
      <w:r>
        <w:rPr>
          <w:rFonts w:ascii="宋体" w:hAnsi="宋体" w:eastAsia="宋体" w:cs="宋体"/>
          <w:spacing w:val="-37"/>
          <w:sz w:val="18"/>
          <w:szCs w:val="1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18"/>
          <w:szCs w:val="18"/>
          <w:highlight w:val="none"/>
        </w:rPr>
        <w:t>60%</w:t>
      </w:r>
      <w:r>
        <w:rPr>
          <w:rFonts w:ascii="宋体" w:hAnsi="宋体" w:eastAsia="宋体" w:cs="宋体"/>
          <w:spacing w:val="-1"/>
          <w:sz w:val="18"/>
          <w:szCs w:val="18"/>
          <w:highlight w:val="none"/>
        </w:rPr>
        <w:t>的，应在评标报告中做出说明。</w:t>
      </w:r>
    </w:p>
    <w:p w14:paraId="09B51D89">
      <w:pPr>
        <w:spacing w:line="547" w:lineRule="exact"/>
        <w:rPr>
          <w:highlight w:val="none"/>
        </w:rPr>
      </w:pPr>
    </w:p>
    <w:p w14:paraId="634F17CE">
      <w:pPr>
        <w:spacing w:line="40" w:lineRule="exact"/>
        <w:rPr>
          <w:highlight w:val="none"/>
        </w:rPr>
      </w:pPr>
    </w:p>
    <w:tbl>
      <w:tblPr>
        <w:tblStyle w:val="10"/>
        <w:tblW w:w="9585" w:type="dxa"/>
        <w:tblInd w:w="76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3"/>
        <w:gridCol w:w="426"/>
        <w:gridCol w:w="579"/>
        <w:gridCol w:w="1207"/>
        <w:gridCol w:w="1287"/>
        <w:gridCol w:w="881"/>
        <w:gridCol w:w="4072"/>
      </w:tblGrid>
      <w:tr w14:paraId="45B7A1E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5513" w:type="dxa"/>
            <w:gridSpan w:val="6"/>
            <w:vAlign w:val="top"/>
          </w:tcPr>
          <w:p w14:paraId="5FCC0922">
            <w:pPr>
              <w:pStyle w:val="9"/>
              <w:spacing w:before="120" w:line="264" w:lineRule="exact"/>
              <w:ind w:left="1903"/>
              <w:rPr>
                <w:sz w:val="10"/>
                <w:szCs w:val="10"/>
                <w:highlight w:val="none"/>
              </w:rPr>
            </w:pPr>
            <w:r>
              <w:rPr>
                <w:spacing w:val="8"/>
                <w:highlight w:val="none"/>
              </w:rPr>
              <w:t>评分因素与权重分值</w:t>
            </w:r>
            <w:r>
              <w:rPr>
                <w:spacing w:val="8"/>
                <w:position w:val="10"/>
                <w:sz w:val="10"/>
                <w:szCs w:val="10"/>
                <w:highlight w:val="none"/>
              </w:rPr>
              <w:t>①</w:t>
            </w:r>
          </w:p>
        </w:tc>
        <w:tc>
          <w:tcPr>
            <w:tcW w:w="4072" w:type="dxa"/>
            <w:vMerge w:val="restart"/>
            <w:tcBorders>
              <w:bottom w:val="nil"/>
            </w:tcBorders>
            <w:vAlign w:val="top"/>
          </w:tcPr>
          <w:p w14:paraId="005AD3A5">
            <w:pPr>
              <w:spacing w:line="306" w:lineRule="auto"/>
              <w:rPr>
                <w:rFonts w:ascii="Arial"/>
                <w:sz w:val="21"/>
                <w:highlight w:val="none"/>
              </w:rPr>
            </w:pPr>
          </w:p>
          <w:p w14:paraId="10ABD8BF">
            <w:pPr>
              <w:spacing w:line="306" w:lineRule="auto"/>
              <w:rPr>
                <w:rFonts w:ascii="Arial"/>
                <w:sz w:val="21"/>
                <w:highlight w:val="none"/>
              </w:rPr>
            </w:pPr>
          </w:p>
          <w:p w14:paraId="14711D95">
            <w:pPr>
              <w:pStyle w:val="9"/>
              <w:spacing w:before="65" w:line="228" w:lineRule="auto"/>
              <w:ind w:left="1483"/>
              <w:rPr>
                <w:highlight w:val="none"/>
              </w:rPr>
            </w:pPr>
            <w:r>
              <w:rPr>
                <w:spacing w:val="7"/>
                <w:highlight w:val="none"/>
              </w:rPr>
              <w:t>评分标准</w:t>
            </w:r>
          </w:p>
        </w:tc>
      </w:tr>
      <w:tr w14:paraId="35C80B9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2" w:hRule="atLeast"/>
        </w:trPr>
        <w:tc>
          <w:tcPr>
            <w:tcW w:w="1133" w:type="dxa"/>
            <w:vAlign w:val="top"/>
          </w:tcPr>
          <w:p w14:paraId="319F0B7C">
            <w:pPr>
              <w:spacing w:line="384" w:lineRule="auto"/>
              <w:rPr>
                <w:rFonts w:ascii="Arial"/>
                <w:sz w:val="21"/>
                <w:highlight w:val="none"/>
              </w:rPr>
            </w:pPr>
          </w:p>
          <w:p w14:paraId="22C6C2D9">
            <w:pPr>
              <w:pStyle w:val="9"/>
              <w:spacing w:before="65" w:line="228" w:lineRule="auto"/>
              <w:ind w:left="259"/>
              <w:rPr>
                <w:highlight w:val="none"/>
              </w:rPr>
            </w:pPr>
            <w:r>
              <w:rPr>
                <w:spacing w:val="6"/>
                <w:highlight w:val="none"/>
              </w:rPr>
              <w:t>条款号</w:t>
            </w:r>
          </w:p>
        </w:tc>
        <w:tc>
          <w:tcPr>
            <w:tcW w:w="1005" w:type="dxa"/>
            <w:gridSpan w:val="2"/>
            <w:vAlign w:val="top"/>
          </w:tcPr>
          <w:p w14:paraId="6FEB219A">
            <w:pPr>
              <w:spacing w:line="384" w:lineRule="auto"/>
              <w:rPr>
                <w:rFonts w:ascii="Arial"/>
                <w:sz w:val="21"/>
                <w:highlight w:val="none"/>
              </w:rPr>
            </w:pPr>
          </w:p>
          <w:p w14:paraId="5C47A516">
            <w:pPr>
              <w:pStyle w:val="9"/>
              <w:spacing w:before="65" w:line="228" w:lineRule="auto"/>
              <w:rPr>
                <w:highlight w:val="none"/>
              </w:rPr>
            </w:pPr>
            <w:r>
              <w:rPr>
                <w:spacing w:val="7"/>
                <w:highlight w:val="none"/>
              </w:rPr>
              <w:t>评分因素</w:t>
            </w:r>
          </w:p>
        </w:tc>
        <w:tc>
          <w:tcPr>
            <w:tcW w:w="1207" w:type="dxa"/>
            <w:vAlign w:val="top"/>
          </w:tcPr>
          <w:p w14:paraId="4B9415EF">
            <w:pPr>
              <w:pStyle w:val="9"/>
              <w:spacing w:before="133" w:line="228" w:lineRule="auto"/>
              <w:ind w:left="156"/>
              <w:rPr>
                <w:highlight w:val="none"/>
              </w:rPr>
            </w:pPr>
            <w:r>
              <w:rPr>
                <w:spacing w:val="7"/>
                <w:highlight w:val="none"/>
              </w:rPr>
              <w:t>评分因</w:t>
            </w:r>
          </w:p>
          <w:p w14:paraId="60FBAF44">
            <w:pPr>
              <w:pStyle w:val="9"/>
              <w:spacing w:before="71" w:line="228" w:lineRule="auto"/>
              <w:ind w:left="160"/>
              <w:rPr>
                <w:highlight w:val="none"/>
              </w:rPr>
            </w:pPr>
            <w:r>
              <w:rPr>
                <w:spacing w:val="6"/>
                <w:highlight w:val="none"/>
              </w:rPr>
              <w:t>素权重</w:t>
            </w:r>
          </w:p>
          <w:p w14:paraId="14336D52">
            <w:pPr>
              <w:pStyle w:val="9"/>
              <w:spacing w:before="74" w:line="228" w:lineRule="auto"/>
              <w:ind w:left="263"/>
              <w:rPr>
                <w:highlight w:val="none"/>
              </w:rPr>
            </w:pPr>
            <w:r>
              <w:rPr>
                <w:spacing w:val="3"/>
                <w:highlight w:val="none"/>
              </w:rPr>
              <w:t>分值</w:t>
            </w:r>
          </w:p>
        </w:tc>
        <w:tc>
          <w:tcPr>
            <w:tcW w:w="1287" w:type="dxa"/>
            <w:vAlign w:val="top"/>
          </w:tcPr>
          <w:p w14:paraId="4E05BBB7">
            <w:pPr>
              <w:pStyle w:val="9"/>
              <w:spacing w:before="294" w:line="280" w:lineRule="auto"/>
              <w:ind w:right="167"/>
              <w:rPr>
                <w:highlight w:val="none"/>
              </w:rPr>
            </w:pPr>
            <w:r>
              <w:rPr>
                <w:spacing w:val="7"/>
                <w:highlight w:val="none"/>
              </w:rPr>
              <w:t>各评分因素细</w:t>
            </w:r>
            <w:r>
              <w:rPr>
                <w:spacing w:val="3"/>
                <w:highlight w:val="none"/>
              </w:rPr>
              <w:t>分项</w:t>
            </w:r>
          </w:p>
        </w:tc>
        <w:tc>
          <w:tcPr>
            <w:tcW w:w="881" w:type="dxa"/>
            <w:vAlign w:val="top"/>
          </w:tcPr>
          <w:p w14:paraId="6684B330">
            <w:pPr>
              <w:spacing w:line="384" w:lineRule="auto"/>
              <w:rPr>
                <w:rFonts w:ascii="Arial"/>
                <w:sz w:val="21"/>
                <w:highlight w:val="none"/>
              </w:rPr>
            </w:pPr>
          </w:p>
          <w:p w14:paraId="08DA28E3">
            <w:pPr>
              <w:pStyle w:val="9"/>
              <w:spacing w:before="65" w:line="228" w:lineRule="auto"/>
              <w:ind w:left="224"/>
              <w:rPr>
                <w:highlight w:val="none"/>
              </w:rPr>
            </w:pPr>
            <w:r>
              <w:rPr>
                <w:spacing w:val="3"/>
                <w:highlight w:val="none"/>
              </w:rPr>
              <w:t>分值</w:t>
            </w:r>
          </w:p>
        </w:tc>
        <w:tc>
          <w:tcPr>
            <w:tcW w:w="4072" w:type="dxa"/>
            <w:vMerge w:val="continue"/>
            <w:tcBorders>
              <w:top w:val="nil"/>
            </w:tcBorders>
            <w:vAlign w:val="top"/>
          </w:tcPr>
          <w:p w14:paraId="7BC0A679">
            <w:pPr>
              <w:rPr>
                <w:rFonts w:ascii="Arial"/>
                <w:sz w:val="21"/>
                <w:highlight w:val="none"/>
              </w:rPr>
            </w:pPr>
          </w:p>
        </w:tc>
      </w:tr>
      <w:tr w14:paraId="13D0D85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5" w:hRule="atLeast"/>
        </w:trPr>
        <w:tc>
          <w:tcPr>
            <w:tcW w:w="1133" w:type="dxa"/>
            <w:vMerge w:val="restart"/>
            <w:tcBorders>
              <w:bottom w:val="nil"/>
            </w:tcBorders>
            <w:vAlign w:val="top"/>
          </w:tcPr>
          <w:p w14:paraId="4706734F">
            <w:pPr>
              <w:spacing w:line="252" w:lineRule="auto"/>
              <w:rPr>
                <w:rFonts w:ascii="Arial"/>
                <w:sz w:val="21"/>
                <w:highlight w:val="none"/>
              </w:rPr>
            </w:pPr>
          </w:p>
          <w:p w14:paraId="287C400B">
            <w:pPr>
              <w:spacing w:line="252" w:lineRule="auto"/>
              <w:rPr>
                <w:rFonts w:ascii="Arial"/>
                <w:sz w:val="21"/>
                <w:highlight w:val="none"/>
              </w:rPr>
            </w:pPr>
          </w:p>
          <w:p w14:paraId="0FB4A2CD">
            <w:pPr>
              <w:spacing w:line="252" w:lineRule="auto"/>
              <w:rPr>
                <w:rFonts w:ascii="Arial"/>
                <w:sz w:val="21"/>
                <w:highlight w:val="none"/>
              </w:rPr>
            </w:pPr>
          </w:p>
          <w:p w14:paraId="21AA0876">
            <w:pPr>
              <w:spacing w:line="252" w:lineRule="auto"/>
              <w:rPr>
                <w:rFonts w:ascii="Arial"/>
                <w:sz w:val="21"/>
                <w:highlight w:val="none"/>
              </w:rPr>
            </w:pPr>
          </w:p>
          <w:p w14:paraId="61751DB1">
            <w:pPr>
              <w:spacing w:line="252" w:lineRule="auto"/>
              <w:rPr>
                <w:rFonts w:ascii="Arial"/>
                <w:sz w:val="21"/>
                <w:highlight w:val="none"/>
              </w:rPr>
            </w:pPr>
          </w:p>
          <w:p w14:paraId="78D53736">
            <w:pPr>
              <w:spacing w:line="252" w:lineRule="auto"/>
              <w:rPr>
                <w:rFonts w:ascii="Arial"/>
                <w:sz w:val="21"/>
                <w:highlight w:val="none"/>
              </w:rPr>
            </w:pPr>
          </w:p>
          <w:p w14:paraId="303432A2">
            <w:pPr>
              <w:spacing w:line="252" w:lineRule="auto"/>
              <w:rPr>
                <w:rFonts w:ascii="Arial"/>
                <w:sz w:val="21"/>
                <w:highlight w:val="none"/>
              </w:rPr>
            </w:pPr>
          </w:p>
          <w:p w14:paraId="134EFAE5">
            <w:pPr>
              <w:spacing w:line="253" w:lineRule="auto"/>
              <w:rPr>
                <w:rFonts w:ascii="Arial"/>
                <w:sz w:val="21"/>
                <w:highlight w:val="none"/>
              </w:rPr>
            </w:pPr>
          </w:p>
          <w:p w14:paraId="41FE523C">
            <w:pPr>
              <w:spacing w:line="253" w:lineRule="auto"/>
              <w:rPr>
                <w:rFonts w:ascii="Arial"/>
                <w:sz w:val="21"/>
                <w:highlight w:val="none"/>
              </w:rPr>
            </w:pPr>
          </w:p>
          <w:p w14:paraId="0F2BB043">
            <w:pPr>
              <w:spacing w:line="253" w:lineRule="auto"/>
              <w:rPr>
                <w:rFonts w:ascii="Arial"/>
                <w:sz w:val="21"/>
                <w:highlight w:val="none"/>
              </w:rPr>
            </w:pPr>
          </w:p>
          <w:p w14:paraId="0A9A1B2C">
            <w:pPr>
              <w:spacing w:line="253" w:lineRule="auto"/>
              <w:rPr>
                <w:rFonts w:ascii="Arial"/>
                <w:sz w:val="21"/>
                <w:highlight w:val="none"/>
              </w:rPr>
            </w:pPr>
          </w:p>
          <w:p w14:paraId="7878FDCF">
            <w:pPr>
              <w:spacing w:line="253" w:lineRule="auto"/>
              <w:rPr>
                <w:rFonts w:ascii="Arial"/>
                <w:sz w:val="21"/>
                <w:highlight w:val="none"/>
              </w:rPr>
            </w:pPr>
          </w:p>
          <w:p w14:paraId="19B6391D">
            <w:pPr>
              <w:spacing w:line="253" w:lineRule="auto"/>
              <w:rPr>
                <w:rFonts w:ascii="Arial"/>
                <w:sz w:val="21"/>
                <w:highlight w:val="none"/>
              </w:rPr>
            </w:pPr>
          </w:p>
          <w:p w14:paraId="3E6DD2C4">
            <w:pPr>
              <w:spacing w:line="253" w:lineRule="auto"/>
              <w:rPr>
                <w:rFonts w:ascii="Arial"/>
                <w:sz w:val="21"/>
                <w:highlight w:val="none"/>
              </w:rPr>
            </w:pPr>
          </w:p>
          <w:p w14:paraId="5F6D0401">
            <w:pPr>
              <w:spacing w:line="253" w:lineRule="auto"/>
              <w:rPr>
                <w:rFonts w:ascii="Arial"/>
                <w:sz w:val="21"/>
                <w:highlight w:val="none"/>
              </w:rPr>
            </w:pPr>
          </w:p>
          <w:p w14:paraId="0789A2F3">
            <w:pPr>
              <w:pStyle w:val="9"/>
              <w:spacing w:before="65"/>
              <w:ind w:right="12"/>
              <w:jc w:val="right"/>
              <w:rPr>
                <w:highlight w:val="none"/>
              </w:rPr>
            </w:pPr>
            <w:r>
              <w:rPr>
                <w:spacing w:val="-1"/>
                <w:highlight w:val="none"/>
              </w:rPr>
              <w:t>2.2.4（4）</w:t>
            </w:r>
          </w:p>
        </w:tc>
        <w:tc>
          <w:tcPr>
            <w:tcW w:w="426" w:type="dxa"/>
            <w:vMerge w:val="restart"/>
            <w:tcBorders>
              <w:bottom w:val="nil"/>
            </w:tcBorders>
            <w:textDirection w:val="tbRlV"/>
            <w:vAlign w:val="top"/>
          </w:tcPr>
          <w:p w14:paraId="0920063E">
            <w:pPr>
              <w:pStyle w:val="9"/>
              <w:spacing w:before="109" w:line="216" w:lineRule="auto"/>
              <w:ind w:left="3077"/>
              <w:rPr>
                <w:highlight w:val="none"/>
              </w:rPr>
            </w:pPr>
            <w:r>
              <w:rPr>
                <w:spacing w:val="9"/>
                <w:highlight w:val="none"/>
              </w:rPr>
              <w:t>其 他 评</w:t>
            </w:r>
            <w:r>
              <w:rPr>
                <w:spacing w:val="13"/>
                <w:highlight w:val="none"/>
              </w:rPr>
              <w:t xml:space="preserve"> </w:t>
            </w:r>
            <w:r>
              <w:rPr>
                <w:spacing w:val="9"/>
                <w:highlight w:val="none"/>
              </w:rPr>
              <w:t>分</w:t>
            </w:r>
            <w:r>
              <w:rPr>
                <w:spacing w:val="10"/>
                <w:highlight w:val="none"/>
              </w:rPr>
              <w:t xml:space="preserve"> </w:t>
            </w:r>
            <w:r>
              <w:rPr>
                <w:spacing w:val="9"/>
                <w:highlight w:val="none"/>
              </w:rPr>
              <w:t>因</w:t>
            </w:r>
            <w:r>
              <w:rPr>
                <w:spacing w:val="11"/>
                <w:highlight w:val="none"/>
              </w:rPr>
              <w:t xml:space="preserve"> </w:t>
            </w:r>
            <w:r>
              <w:rPr>
                <w:spacing w:val="9"/>
                <w:highlight w:val="none"/>
              </w:rPr>
              <w:t>素</w:t>
            </w:r>
          </w:p>
        </w:tc>
        <w:tc>
          <w:tcPr>
            <w:tcW w:w="579" w:type="dxa"/>
            <w:vAlign w:val="top"/>
          </w:tcPr>
          <w:p w14:paraId="49972277">
            <w:pPr>
              <w:spacing w:line="288" w:lineRule="auto"/>
              <w:rPr>
                <w:rFonts w:ascii="Arial"/>
                <w:sz w:val="21"/>
                <w:highlight w:val="none"/>
              </w:rPr>
            </w:pPr>
          </w:p>
          <w:p w14:paraId="6488789A">
            <w:pPr>
              <w:spacing w:line="288" w:lineRule="auto"/>
              <w:rPr>
                <w:rFonts w:ascii="Arial"/>
                <w:sz w:val="21"/>
                <w:highlight w:val="none"/>
              </w:rPr>
            </w:pPr>
          </w:p>
          <w:p w14:paraId="1C6D8014">
            <w:pPr>
              <w:spacing w:line="288" w:lineRule="auto"/>
              <w:rPr>
                <w:rFonts w:ascii="Arial"/>
                <w:sz w:val="21"/>
                <w:highlight w:val="none"/>
              </w:rPr>
            </w:pPr>
          </w:p>
          <w:p w14:paraId="40B5109C">
            <w:pPr>
              <w:pStyle w:val="9"/>
              <w:spacing w:before="65" w:line="228" w:lineRule="auto"/>
              <w:ind w:left="217"/>
              <w:rPr>
                <w:highlight w:val="none"/>
              </w:rPr>
            </w:pPr>
            <w:r>
              <w:rPr>
                <w:spacing w:val="5"/>
                <w:highlight w:val="none"/>
              </w:rPr>
              <w:t>业绩</w:t>
            </w:r>
          </w:p>
        </w:tc>
        <w:tc>
          <w:tcPr>
            <w:tcW w:w="1207" w:type="dxa"/>
            <w:vAlign w:val="top"/>
          </w:tcPr>
          <w:p w14:paraId="19A916F6">
            <w:pPr>
              <w:spacing w:line="288" w:lineRule="auto"/>
              <w:rPr>
                <w:rFonts w:ascii="Arial"/>
                <w:sz w:val="21"/>
                <w:highlight w:val="none"/>
              </w:rPr>
            </w:pPr>
          </w:p>
          <w:p w14:paraId="251C290A">
            <w:pPr>
              <w:spacing w:line="288" w:lineRule="auto"/>
              <w:rPr>
                <w:rFonts w:ascii="Arial"/>
                <w:sz w:val="21"/>
                <w:highlight w:val="none"/>
              </w:rPr>
            </w:pPr>
          </w:p>
          <w:p w14:paraId="39E1F933">
            <w:pPr>
              <w:spacing w:line="288" w:lineRule="auto"/>
              <w:rPr>
                <w:rFonts w:ascii="Arial"/>
                <w:sz w:val="21"/>
                <w:highlight w:val="none"/>
              </w:rPr>
            </w:pPr>
          </w:p>
          <w:p w14:paraId="5A40C669">
            <w:pPr>
              <w:pStyle w:val="9"/>
              <w:tabs>
                <w:tab w:val="left" w:pos="276"/>
              </w:tabs>
              <w:spacing w:before="65" w:line="228" w:lineRule="auto"/>
              <w:ind w:left="148"/>
              <w:rPr>
                <w:highlight w:val="none"/>
              </w:rPr>
            </w:pPr>
            <w:r>
              <w:rPr>
                <w:highlight w:val="none"/>
                <w:u w:val="single" w:color="auto"/>
              </w:rPr>
              <w:tab/>
            </w:r>
            <w:r>
              <w:rPr>
                <w:spacing w:val="-5"/>
                <w:highlight w:val="none"/>
                <w:u w:val="single" w:color="auto"/>
              </w:rPr>
              <w:t>10</w:t>
            </w:r>
            <w:r>
              <w:rPr>
                <w:spacing w:val="18"/>
                <w:highlight w:val="none"/>
                <w:u w:val="single" w:color="auto"/>
              </w:rPr>
              <w:t xml:space="preserve"> </w:t>
            </w:r>
            <w:r>
              <w:rPr>
                <w:spacing w:val="-5"/>
                <w:highlight w:val="none"/>
              </w:rPr>
              <w:t>分</w:t>
            </w:r>
          </w:p>
        </w:tc>
        <w:tc>
          <w:tcPr>
            <w:tcW w:w="1287" w:type="dxa"/>
            <w:vAlign w:val="top"/>
          </w:tcPr>
          <w:p w14:paraId="3671E2F4">
            <w:pPr>
              <w:spacing w:line="288" w:lineRule="auto"/>
              <w:rPr>
                <w:rFonts w:ascii="Arial"/>
                <w:sz w:val="21"/>
                <w:highlight w:val="none"/>
              </w:rPr>
            </w:pPr>
          </w:p>
          <w:p w14:paraId="0E24507D">
            <w:pPr>
              <w:spacing w:line="288" w:lineRule="auto"/>
              <w:rPr>
                <w:rFonts w:ascii="Arial"/>
                <w:sz w:val="21"/>
                <w:highlight w:val="none"/>
              </w:rPr>
            </w:pPr>
          </w:p>
          <w:p w14:paraId="1EC4328D">
            <w:pPr>
              <w:spacing w:line="288" w:lineRule="auto"/>
              <w:rPr>
                <w:rFonts w:ascii="Arial"/>
                <w:sz w:val="21"/>
                <w:highlight w:val="none"/>
              </w:rPr>
            </w:pPr>
          </w:p>
          <w:p w14:paraId="18201411">
            <w:pPr>
              <w:pStyle w:val="9"/>
              <w:spacing w:before="65" w:line="228" w:lineRule="auto"/>
              <w:ind w:left="384"/>
              <w:rPr>
                <w:highlight w:val="none"/>
              </w:rPr>
            </w:pPr>
            <w:r>
              <w:rPr>
                <w:spacing w:val="6"/>
                <w:highlight w:val="none"/>
              </w:rPr>
              <w:t>企业业绩</w:t>
            </w:r>
          </w:p>
        </w:tc>
        <w:tc>
          <w:tcPr>
            <w:tcW w:w="881" w:type="dxa"/>
            <w:vAlign w:val="top"/>
          </w:tcPr>
          <w:p w14:paraId="034C8EA8">
            <w:pPr>
              <w:spacing w:line="288" w:lineRule="auto"/>
              <w:rPr>
                <w:rFonts w:ascii="Arial"/>
                <w:sz w:val="21"/>
                <w:highlight w:val="none"/>
              </w:rPr>
            </w:pPr>
          </w:p>
          <w:p w14:paraId="20D891AD">
            <w:pPr>
              <w:spacing w:line="288" w:lineRule="auto"/>
              <w:rPr>
                <w:rFonts w:ascii="Arial"/>
                <w:sz w:val="21"/>
                <w:highlight w:val="none"/>
              </w:rPr>
            </w:pPr>
          </w:p>
          <w:p w14:paraId="0F2D8684">
            <w:pPr>
              <w:spacing w:line="288" w:lineRule="auto"/>
              <w:rPr>
                <w:rFonts w:ascii="Arial"/>
                <w:sz w:val="21"/>
                <w:highlight w:val="none"/>
              </w:rPr>
            </w:pPr>
          </w:p>
          <w:p w14:paraId="532A9DDF">
            <w:pPr>
              <w:pStyle w:val="9"/>
              <w:tabs>
                <w:tab w:val="left" w:pos="237"/>
              </w:tabs>
              <w:spacing w:before="65" w:line="228" w:lineRule="auto"/>
              <w:ind w:left="107"/>
              <w:rPr>
                <w:highlight w:val="none"/>
              </w:rPr>
            </w:pPr>
            <w:r>
              <w:rPr>
                <w:spacing w:val="-5"/>
                <w:highlight w:val="none"/>
                <w:u w:val="single" w:color="auto"/>
              </w:rPr>
              <w:t>10</w:t>
            </w:r>
            <w:r>
              <w:rPr>
                <w:spacing w:val="15"/>
                <w:highlight w:val="none"/>
                <w:u w:val="single" w:color="auto"/>
              </w:rPr>
              <w:t xml:space="preserve"> </w:t>
            </w:r>
            <w:r>
              <w:rPr>
                <w:spacing w:val="-5"/>
                <w:highlight w:val="none"/>
              </w:rPr>
              <w:t>分</w:t>
            </w:r>
          </w:p>
        </w:tc>
        <w:tc>
          <w:tcPr>
            <w:tcW w:w="4072" w:type="dxa"/>
            <w:vAlign w:val="top"/>
          </w:tcPr>
          <w:p w14:paraId="1F6FE214">
            <w:pPr>
              <w:pStyle w:val="9"/>
              <w:spacing w:before="134" w:line="228" w:lineRule="auto"/>
              <w:ind w:left="115"/>
              <w:rPr>
                <w:highlight w:val="none"/>
              </w:rPr>
            </w:pPr>
            <w:r>
              <w:rPr>
                <w:spacing w:val="9"/>
                <w:highlight w:val="none"/>
              </w:rPr>
              <w:t>满足资格审查条件（业绩最低要求）得</w:t>
            </w:r>
          </w:p>
          <w:p w14:paraId="66F7D57C">
            <w:pPr>
              <w:pStyle w:val="9"/>
              <w:spacing w:before="72" w:line="228" w:lineRule="auto"/>
              <w:ind w:left="117"/>
              <w:rPr>
                <w:highlight w:val="none"/>
              </w:rPr>
            </w:pPr>
            <w:r>
              <w:rPr>
                <w:spacing w:val="-3"/>
                <w:highlight w:val="none"/>
              </w:rPr>
              <w:t>6</w:t>
            </w:r>
            <w:r>
              <w:rPr>
                <w:spacing w:val="-37"/>
                <w:highlight w:val="none"/>
              </w:rPr>
              <w:t xml:space="preserve"> </w:t>
            </w:r>
            <w:r>
              <w:rPr>
                <w:spacing w:val="-3"/>
                <w:highlight w:val="none"/>
              </w:rPr>
              <w:t>分；</w:t>
            </w:r>
          </w:p>
          <w:p w14:paraId="52477F1F">
            <w:pPr>
              <w:pStyle w:val="9"/>
              <w:spacing w:before="72" w:line="288" w:lineRule="auto"/>
              <w:ind w:left="115" w:right="109"/>
              <w:rPr>
                <w:highlight w:val="none"/>
              </w:rPr>
            </w:pPr>
            <w:r>
              <w:rPr>
                <w:rFonts w:hint="eastAsia" w:cs="宋体"/>
                <w:highlight w:val="none"/>
                <w:lang w:val="en-US" w:eastAsia="zh-CN"/>
              </w:rPr>
              <w:t>在强制标准基础上每增加5</w:t>
            </w:r>
            <w:r>
              <w:rPr>
                <w:rFonts w:ascii="宋体" w:hAnsi="宋体" w:cs="宋体"/>
                <w:highlight w:val="none"/>
              </w:rPr>
              <w:t>km</w:t>
            </w:r>
            <w:r>
              <w:rPr>
                <w:rFonts w:hint="eastAsia" w:ascii="宋体" w:hAnsi="宋体" w:cs="宋体"/>
                <w:highlight w:val="none"/>
              </w:rPr>
              <w:t>的</w:t>
            </w:r>
            <w:r>
              <w:rPr>
                <w:rFonts w:hint="eastAsia" w:cs="宋体"/>
                <w:highlight w:val="none"/>
                <w:lang w:val="en-US" w:eastAsia="zh-CN"/>
              </w:rPr>
              <w:t>一</w:t>
            </w:r>
            <w:r>
              <w:rPr>
                <w:rFonts w:hint="eastAsia" w:ascii="宋体" w:hAnsi="宋体" w:cs="宋体"/>
                <w:highlight w:val="none"/>
                <w:lang w:val="en-US" w:eastAsia="zh-CN"/>
              </w:rPr>
              <w:t>级及以上</w:t>
            </w:r>
            <w:r>
              <w:rPr>
                <w:rFonts w:hint="eastAsia" w:ascii="宋体" w:hAnsi="宋体" w:cs="宋体"/>
                <w:highlight w:val="none"/>
              </w:rPr>
              <w:t>公路工程勘察设计业绩得</w:t>
            </w:r>
            <w:r>
              <w:rPr>
                <w:rFonts w:hint="eastAsia" w:cs="宋体"/>
                <w:highlight w:val="none"/>
                <w:lang w:val="en-US" w:eastAsia="zh-CN"/>
              </w:rPr>
              <w:t>加1</w:t>
            </w:r>
            <w:r>
              <w:rPr>
                <w:rFonts w:hint="eastAsia" w:ascii="宋体" w:hAnsi="宋体" w:cs="宋体"/>
                <w:highlight w:val="none"/>
                <w:lang w:val="en-US" w:eastAsia="zh-CN"/>
              </w:rPr>
              <w:t>分</w:t>
            </w:r>
            <w:r>
              <w:rPr>
                <w:rFonts w:hint="eastAsia"/>
                <w:highlight w:val="none"/>
              </w:rPr>
              <w:t>，</w:t>
            </w:r>
            <w:r>
              <w:rPr>
                <w:rFonts w:hint="eastAsia" w:cs="宋体"/>
                <w:highlight w:val="none"/>
                <w:lang w:val="en-US" w:eastAsia="zh-CN"/>
              </w:rPr>
              <w:t>最多加4分，不足5公里不计分，本项满分10分</w:t>
            </w:r>
            <w:r>
              <w:rPr>
                <w:rFonts w:hint="eastAsia" w:ascii="宋体" w:hAnsi="宋体" w:cs="宋体"/>
                <w:highlight w:val="none"/>
              </w:rPr>
              <w:t>。</w:t>
            </w:r>
          </w:p>
        </w:tc>
      </w:tr>
      <w:tr w14:paraId="4311BFA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7" w:hRule="atLeast"/>
        </w:trPr>
        <w:tc>
          <w:tcPr>
            <w:tcW w:w="1133" w:type="dxa"/>
            <w:vMerge w:val="continue"/>
            <w:tcBorders>
              <w:top w:val="nil"/>
            </w:tcBorders>
            <w:vAlign w:val="top"/>
          </w:tcPr>
          <w:p w14:paraId="69FE9094"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  <w:textDirection w:val="tbRlV"/>
            <w:vAlign w:val="top"/>
          </w:tcPr>
          <w:p w14:paraId="6223E3BB"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579" w:type="dxa"/>
            <w:vAlign w:val="top"/>
          </w:tcPr>
          <w:p w14:paraId="4AE49F40">
            <w:pPr>
              <w:spacing w:line="261" w:lineRule="auto"/>
              <w:rPr>
                <w:rFonts w:ascii="Arial"/>
                <w:sz w:val="21"/>
                <w:highlight w:val="none"/>
              </w:rPr>
            </w:pPr>
          </w:p>
          <w:p w14:paraId="4E5D425E">
            <w:pPr>
              <w:spacing w:line="261" w:lineRule="auto"/>
              <w:rPr>
                <w:rFonts w:ascii="Arial"/>
                <w:sz w:val="21"/>
                <w:highlight w:val="none"/>
              </w:rPr>
            </w:pPr>
          </w:p>
          <w:p w14:paraId="55E7D6D1">
            <w:pPr>
              <w:spacing w:line="261" w:lineRule="auto"/>
              <w:rPr>
                <w:rFonts w:ascii="Arial"/>
                <w:sz w:val="21"/>
                <w:highlight w:val="none"/>
              </w:rPr>
            </w:pPr>
          </w:p>
          <w:p w14:paraId="0C8E5F16">
            <w:pPr>
              <w:spacing w:line="261" w:lineRule="auto"/>
              <w:rPr>
                <w:rFonts w:ascii="Arial"/>
                <w:sz w:val="21"/>
                <w:highlight w:val="none"/>
              </w:rPr>
            </w:pPr>
          </w:p>
          <w:p w14:paraId="6C5D7E41">
            <w:pPr>
              <w:spacing w:line="261" w:lineRule="auto"/>
              <w:rPr>
                <w:rFonts w:ascii="Arial"/>
                <w:sz w:val="21"/>
                <w:highlight w:val="none"/>
              </w:rPr>
            </w:pPr>
          </w:p>
          <w:p w14:paraId="7168AA5D">
            <w:pPr>
              <w:spacing w:line="261" w:lineRule="auto"/>
              <w:rPr>
                <w:rFonts w:ascii="Arial"/>
                <w:sz w:val="21"/>
                <w:highlight w:val="none"/>
              </w:rPr>
            </w:pPr>
          </w:p>
          <w:p w14:paraId="12A1F921">
            <w:pPr>
              <w:spacing w:line="261" w:lineRule="auto"/>
              <w:rPr>
                <w:rFonts w:ascii="Arial"/>
                <w:sz w:val="21"/>
                <w:highlight w:val="none"/>
              </w:rPr>
            </w:pPr>
          </w:p>
          <w:p w14:paraId="3704392F">
            <w:pPr>
              <w:spacing w:line="262" w:lineRule="auto"/>
              <w:rPr>
                <w:rFonts w:ascii="Arial"/>
                <w:sz w:val="21"/>
                <w:highlight w:val="none"/>
              </w:rPr>
            </w:pPr>
          </w:p>
          <w:p w14:paraId="76857283">
            <w:pPr>
              <w:spacing w:line="262" w:lineRule="auto"/>
              <w:rPr>
                <w:rFonts w:ascii="Arial"/>
                <w:sz w:val="21"/>
                <w:highlight w:val="none"/>
              </w:rPr>
            </w:pPr>
          </w:p>
          <w:p w14:paraId="739EED34">
            <w:pPr>
              <w:spacing w:line="262" w:lineRule="auto"/>
              <w:rPr>
                <w:rFonts w:ascii="Arial"/>
                <w:sz w:val="21"/>
                <w:highlight w:val="none"/>
              </w:rPr>
            </w:pPr>
          </w:p>
          <w:p w14:paraId="76BE887E">
            <w:pPr>
              <w:pStyle w:val="9"/>
              <w:spacing w:before="65" w:line="280" w:lineRule="auto"/>
              <w:ind w:left="217" w:right="217" w:firstLine="3"/>
              <w:rPr>
                <w:highlight w:val="none"/>
              </w:rPr>
            </w:pPr>
            <w:r>
              <w:rPr>
                <w:spacing w:val="3"/>
                <w:highlight w:val="none"/>
              </w:rPr>
              <w:t>履约</w:t>
            </w:r>
            <w:r>
              <w:rPr>
                <w:highlight w:val="none"/>
              </w:rPr>
              <w:t xml:space="preserve"> </w:t>
            </w:r>
            <w:r>
              <w:rPr>
                <w:spacing w:val="4"/>
                <w:highlight w:val="none"/>
              </w:rPr>
              <w:t>信誉</w:t>
            </w:r>
          </w:p>
        </w:tc>
        <w:tc>
          <w:tcPr>
            <w:tcW w:w="1207" w:type="dxa"/>
            <w:vAlign w:val="top"/>
          </w:tcPr>
          <w:p w14:paraId="65A98A4F">
            <w:pPr>
              <w:spacing w:line="252" w:lineRule="auto"/>
              <w:rPr>
                <w:rFonts w:ascii="Arial"/>
                <w:sz w:val="21"/>
                <w:highlight w:val="none"/>
              </w:rPr>
            </w:pPr>
          </w:p>
          <w:p w14:paraId="2FDFB7A0">
            <w:pPr>
              <w:spacing w:line="252" w:lineRule="auto"/>
              <w:rPr>
                <w:rFonts w:ascii="Arial"/>
                <w:sz w:val="21"/>
                <w:highlight w:val="none"/>
              </w:rPr>
            </w:pPr>
          </w:p>
          <w:p w14:paraId="1BF5DB6F">
            <w:pPr>
              <w:spacing w:line="252" w:lineRule="auto"/>
              <w:rPr>
                <w:rFonts w:ascii="Arial"/>
                <w:sz w:val="21"/>
                <w:highlight w:val="none"/>
              </w:rPr>
            </w:pPr>
          </w:p>
          <w:p w14:paraId="092A7964">
            <w:pPr>
              <w:spacing w:line="252" w:lineRule="auto"/>
              <w:rPr>
                <w:rFonts w:ascii="Arial"/>
                <w:sz w:val="21"/>
                <w:highlight w:val="none"/>
              </w:rPr>
            </w:pPr>
          </w:p>
          <w:p w14:paraId="569DFE38">
            <w:pPr>
              <w:spacing w:line="252" w:lineRule="auto"/>
              <w:rPr>
                <w:rFonts w:ascii="Arial"/>
                <w:sz w:val="21"/>
                <w:highlight w:val="none"/>
              </w:rPr>
            </w:pPr>
          </w:p>
          <w:p w14:paraId="2FDD3C5A">
            <w:pPr>
              <w:spacing w:line="252" w:lineRule="auto"/>
              <w:rPr>
                <w:rFonts w:ascii="Arial"/>
                <w:sz w:val="21"/>
                <w:highlight w:val="none"/>
              </w:rPr>
            </w:pPr>
          </w:p>
          <w:p w14:paraId="04453F4A">
            <w:pPr>
              <w:spacing w:line="252" w:lineRule="auto"/>
              <w:rPr>
                <w:rFonts w:ascii="Arial"/>
                <w:sz w:val="21"/>
                <w:highlight w:val="none"/>
              </w:rPr>
            </w:pPr>
          </w:p>
          <w:p w14:paraId="0DD10F0C">
            <w:pPr>
              <w:spacing w:line="252" w:lineRule="auto"/>
              <w:rPr>
                <w:rFonts w:ascii="Arial"/>
                <w:sz w:val="21"/>
                <w:highlight w:val="none"/>
              </w:rPr>
            </w:pPr>
          </w:p>
          <w:p w14:paraId="76984B23">
            <w:pPr>
              <w:spacing w:line="252" w:lineRule="auto"/>
              <w:rPr>
                <w:rFonts w:ascii="Arial"/>
                <w:sz w:val="21"/>
                <w:highlight w:val="none"/>
              </w:rPr>
            </w:pPr>
          </w:p>
          <w:p w14:paraId="2E6A19D9">
            <w:pPr>
              <w:spacing w:line="253" w:lineRule="auto"/>
              <w:rPr>
                <w:rFonts w:ascii="Arial"/>
                <w:sz w:val="21"/>
                <w:highlight w:val="none"/>
              </w:rPr>
            </w:pPr>
          </w:p>
          <w:p w14:paraId="4375D1AD">
            <w:pPr>
              <w:spacing w:line="253" w:lineRule="auto"/>
              <w:rPr>
                <w:rFonts w:ascii="Arial"/>
                <w:sz w:val="21"/>
                <w:highlight w:val="none"/>
              </w:rPr>
            </w:pPr>
          </w:p>
          <w:p w14:paraId="079E7C53">
            <w:pPr>
              <w:pStyle w:val="9"/>
              <w:tabs>
                <w:tab w:val="left" w:pos="276"/>
              </w:tabs>
              <w:spacing w:before="65" w:line="228" w:lineRule="auto"/>
              <w:ind w:left="148"/>
              <w:rPr>
                <w:highlight w:val="none"/>
              </w:rPr>
            </w:pPr>
            <w:r>
              <w:rPr>
                <w:highlight w:val="none"/>
                <w:u w:val="single" w:color="auto"/>
              </w:rPr>
              <w:tab/>
            </w:r>
            <w:r>
              <w:rPr>
                <w:spacing w:val="-5"/>
                <w:highlight w:val="none"/>
                <w:u w:val="single" w:color="auto"/>
              </w:rPr>
              <w:t>10</w:t>
            </w:r>
            <w:r>
              <w:rPr>
                <w:spacing w:val="18"/>
                <w:highlight w:val="none"/>
                <w:u w:val="single" w:color="auto"/>
              </w:rPr>
              <w:t xml:space="preserve"> </w:t>
            </w:r>
            <w:r>
              <w:rPr>
                <w:spacing w:val="-5"/>
                <w:highlight w:val="none"/>
              </w:rPr>
              <w:t>分</w:t>
            </w:r>
          </w:p>
        </w:tc>
        <w:tc>
          <w:tcPr>
            <w:tcW w:w="1287" w:type="dxa"/>
            <w:vAlign w:val="top"/>
          </w:tcPr>
          <w:p w14:paraId="3294CDEE">
            <w:pPr>
              <w:spacing w:line="252" w:lineRule="auto"/>
              <w:rPr>
                <w:rFonts w:ascii="Arial"/>
                <w:sz w:val="21"/>
                <w:highlight w:val="none"/>
              </w:rPr>
            </w:pPr>
          </w:p>
          <w:p w14:paraId="0A8A5298">
            <w:pPr>
              <w:spacing w:line="252" w:lineRule="auto"/>
              <w:rPr>
                <w:rFonts w:ascii="Arial"/>
                <w:sz w:val="21"/>
                <w:highlight w:val="none"/>
              </w:rPr>
            </w:pPr>
          </w:p>
          <w:p w14:paraId="59DD3AFC">
            <w:pPr>
              <w:spacing w:line="252" w:lineRule="auto"/>
              <w:rPr>
                <w:rFonts w:ascii="Arial"/>
                <w:sz w:val="21"/>
                <w:highlight w:val="none"/>
              </w:rPr>
            </w:pPr>
          </w:p>
          <w:p w14:paraId="5A75C70F">
            <w:pPr>
              <w:spacing w:line="252" w:lineRule="auto"/>
              <w:rPr>
                <w:rFonts w:ascii="Arial"/>
                <w:sz w:val="21"/>
                <w:highlight w:val="none"/>
              </w:rPr>
            </w:pPr>
          </w:p>
          <w:p w14:paraId="1C93D2F3">
            <w:pPr>
              <w:spacing w:line="252" w:lineRule="auto"/>
              <w:rPr>
                <w:rFonts w:ascii="Arial"/>
                <w:sz w:val="21"/>
                <w:highlight w:val="none"/>
              </w:rPr>
            </w:pPr>
          </w:p>
          <w:p w14:paraId="50C805C1">
            <w:pPr>
              <w:spacing w:line="252" w:lineRule="auto"/>
              <w:rPr>
                <w:rFonts w:ascii="Arial"/>
                <w:sz w:val="21"/>
                <w:highlight w:val="none"/>
              </w:rPr>
            </w:pPr>
          </w:p>
          <w:p w14:paraId="6E22BD6A">
            <w:pPr>
              <w:spacing w:line="252" w:lineRule="auto"/>
              <w:rPr>
                <w:rFonts w:ascii="Arial"/>
                <w:sz w:val="21"/>
                <w:highlight w:val="none"/>
              </w:rPr>
            </w:pPr>
          </w:p>
          <w:p w14:paraId="00B32FE5">
            <w:pPr>
              <w:spacing w:line="252" w:lineRule="auto"/>
              <w:rPr>
                <w:rFonts w:ascii="Arial"/>
                <w:sz w:val="21"/>
                <w:highlight w:val="none"/>
              </w:rPr>
            </w:pPr>
          </w:p>
          <w:p w14:paraId="22B66799">
            <w:pPr>
              <w:spacing w:line="252" w:lineRule="auto"/>
              <w:rPr>
                <w:rFonts w:ascii="Arial"/>
                <w:sz w:val="21"/>
                <w:highlight w:val="none"/>
              </w:rPr>
            </w:pPr>
          </w:p>
          <w:p w14:paraId="09635146">
            <w:pPr>
              <w:spacing w:line="252" w:lineRule="auto"/>
              <w:rPr>
                <w:rFonts w:ascii="Arial"/>
                <w:sz w:val="21"/>
                <w:highlight w:val="none"/>
              </w:rPr>
            </w:pPr>
          </w:p>
          <w:p w14:paraId="525B6BB5">
            <w:pPr>
              <w:spacing w:line="253" w:lineRule="auto"/>
              <w:rPr>
                <w:rFonts w:ascii="Arial"/>
                <w:sz w:val="21"/>
                <w:highlight w:val="none"/>
              </w:rPr>
            </w:pPr>
          </w:p>
          <w:p w14:paraId="2D14ACD1">
            <w:pPr>
              <w:pStyle w:val="9"/>
              <w:spacing w:before="65" w:line="227" w:lineRule="auto"/>
              <w:ind w:left="384"/>
              <w:rPr>
                <w:highlight w:val="none"/>
              </w:rPr>
            </w:pPr>
            <w:r>
              <w:rPr>
                <w:spacing w:val="6"/>
                <w:highlight w:val="none"/>
              </w:rPr>
              <w:t>履约信誉</w:t>
            </w:r>
          </w:p>
        </w:tc>
        <w:tc>
          <w:tcPr>
            <w:tcW w:w="881" w:type="dxa"/>
            <w:vAlign w:val="top"/>
          </w:tcPr>
          <w:p w14:paraId="6670F8FD">
            <w:pPr>
              <w:spacing w:line="252" w:lineRule="auto"/>
              <w:rPr>
                <w:rFonts w:ascii="Arial"/>
                <w:sz w:val="21"/>
                <w:highlight w:val="none"/>
              </w:rPr>
            </w:pPr>
          </w:p>
          <w:p w14:paraId="309E5171">
            <w:pPr>
              <w:spacing w:line="252" w:lineRule="auto"/>
              <w:rPr>
                <w:rFonts w:ascii="Arial"/>
                <w:sz w:val="21"/>
                <w:highlight w:val="none"/>
              </w:rPr>
            </w:pPr>
          </w:p>
          <w:p w14:paraId="605382C3">
            <w:pPr>
              <w:spacing w:line="252" w:lineRule="auto"/>
              <w:rPr>
                <w:rFonts w:ascii="Arial"/>
                <w:sz w:val="21"/>
                <w:highlight w:val="none"/>
              </w:rPr>
            </w:pPr>
          </w:p>
          <w:p w14:paraId="111E0E75">
            <w:pPr>
              <w:spacing w:line="252" w:lineRule="auto"/>
              <w:rPr>
                <w:rFonts w:ascii="Arial"/>
                <w:sz w:val="21"/>
                <w:highlight w:val="none"/>
              </w:rPr>
            </w:pPr>
          </w:p>
          <w:p w14:paraId="75C63C39">
            <w:pPr>
              <w:spacing w:line="252" w:lineRule="auto"/>
              <w:rPr>
                <w:rFonts w:ascii="Arial"/>
                <w:sz w:val="21"/>
                <w:highlight w:val="none"/>
              </w:rPr>
            </w:pPr>
          </w:p>
          <w:p w14:paraId="2C45BF4A">
            <w:pPr>
              <w:spacing w:line="252" w:lineRule="auto"/>
              <w:rPr>
                <w:rFonts w:ascii="Arial"/>
                <w:sz w:val="21"/>
                <w:highlight w:val="none"/>
              </w:rPr>
            </w:pPr>
          </w:p>
          <w:p w14:paraId="1505555F">
            <w:pPr>
              <w:spacing w:line="252" w:lineRule="auto"/>
              <w:rPr>
                <w:rFonts w:ascii="Arial"/>
                <w:sz w:val="21"/>
                <w:highlight w:val="none"/>
              </w:rPr>
            </w:pPr>
          </w:p>
          <w:p w14:paraId="10BE9E8B">
            <w:pPr>
              <w:spacing w:line="252" w:lineRule="auto"/>
              <w:rPr>
                <w:rFonts w:ascii="Arial"/>
                <w:sz w:val="21"/>
                <w:highlight w:val="none"/>
              </w:rPr>
            </w:pPr>
          </w:p>
          <w:p w14:paraId="62DB0A50">
            <w:pPr>
              <w:spacing w:line="252" w:lineRule="auto"/>
              <w:rPr>
                <w:rFonts w:ascii="Arial"/>
                <w:sz w:val="21"/>
                <w:highlight w:val="none"/>
              </w:rPr>
            </w:pPr>
          </w:p>
          <w:p w14:paraId="680F175A">
            <w:pPr>
              <w:spacing w:line="253" w:lineRule="auto"/>
              <w:rPr>
                <w:rFonts w:ascii="Arial"/>
                <w:sz w:val="21"/>
                <w:highlight w:val="none"/>
              </w:rPr>
            </w:pPr>
          </w:p>
          <w:p w14:paraId="0F0EA362">
            <w:pPr>
              <w:spacing w:line="253" w:lineRule="auto"/>
              <w:rPr>
                <w:rFonts w:ascii="Arial"/>
                <w:sz w:val="21"/>
                <w:highlight w:val="none"/>
              </w:rPr>
            </w:pPr>
          </w:p>
          <w:p w14:paraId="6A65E4C9">
            <w:pPr>
              <w:pStyle w:val="9"/>
              <w:tabs>
                <w:tab w:val="left" w:pos="237"/>
              </w:tabs>
              <w:spacing w:before="65" w:line="228" w:lineRule="auto"/>
              <w:ind w:left="107"/>
              <w:rPr>
                <w:highlight w:val="none"/>
              </w:rPr>
            </w:pPr>
            <w:r>
              <w:rPr>
                <w:highlight w:val="none"/>
                <w:u w:val="single" w:color="auto"/>
              </w:rPr>
              <w:tab/>
            </w:r>
            <w:r>
              <w:rPr>
                <w:spacing w:val="-5"/>
                <w:highlight w:val="none"/>
                <w:u w:val="single" w:color="auto"/>
              </w:rPr>
              <w:t>10</w:t>
            </w:r>
            <w:r>
              <w:rPr>
                <w:spacing w:val="15"/>
                <w:highlight w:val="none"/>
                <w:u w:val="single" w:color="auto"/>
              </w:rPr>
              <w:t xml:space="preserve"> </w:t>
            </w:r>
            <w:r>
              <w:rPr>
                <w:spacing w:val="-5"/>
                <w:highlight w:val="none"/>
              </w:rPr>
              <w:t>分</w:t>
            </w:r>
          </w:p>
        </w:tc>
        <w:tc>
          <w:tcPr>
            <w:tcW w:w="4072" w:type="dxa"/>
            <w:vAlign w:val="top"/>
          </w:tcPr>
          <w:p w14:paraId="5A19F753">
            <w:pPr>
              <w:pStyle w:val="9"/>
              <w:spacing w:before="134" w:line="286" w:lineRule="auto"/>
              <w:ind w:left="117" w:right="22"/>
              <w:rPr>
                <w:highlight w:val="none"/>
              </w:rPr>
            </w:pPr>
            <w:r>
              <w:rPr>
                <w:spacing w:val="7"/>
                <w:highlight w:val="none"/>
              </w:rPr>
              <w:t>投标人的履约信誉按照以下（1</w:t>
            </w:r>
            <w:r>
              <w:rPr>
                <w:spacing w:val="-21"/>
                <w:highlight w:val="none"/>
              </w:rPr>
              <w:t>）～（</w:t>
            </w:r>
            <w:r>
              <w:rPr>
                <w:spacing w:val="7"/>
                <w:highlight w:val="none"/>
              </w:rPr>
              <w:t>3）</w:t>
            </w:r>
            <w:r>
              <w:rPr>
                <w:highlight w:val="none"/>
              </w:rPr>
              <w:t xml:space="preserve"> </w:t>
            </w:r>
            <w:r>
              <w:rPr>
                <w:spacing w:val="9"/>
                <w:highlight w:val="none"/>
              </w:rPr>
              <w:t>的顺序认定并评分（如果执行上一条标</w:t>
            </w:r>
            <w:r>
              <w:rPr>
                <w:spacing w:val="2"/>
                <w:highlight w:val="none"/>
              </w:rPr>
              <w:t xml:space="preserve">  </w:t>
            </w:r>
            <w:r>
              <w:rPr>
                <w:spacing w:val="9"/>
                <w:highlight w:val="none"/>
              </w:rPr>
              <w:t>准，则不再执行其他标准</w:t>
            </w:r>
            <w:r>
              <w:rPr>
                <w:highlight w:val="none"/>
              </w:rPr>
              <w:t>）：</w:t>
            </w:r>
          </w:p>
          <w:p w14:paraId="7F77C5AE">
            <w:pPr>
              <w:pStyle w:val="9"/>
              <w:spacing w:before="29" w:line="290" w:lineRule="auto"/>
              <w:ind w:left="117" w:right="14" w:firstLine="8"/>
              <w:rPr>
                <w:highlight w:val="none"/>
              </w:rPr>
            </w:pPr>
            <w:r>
              <w:rPr>
                <w:spacing w:val="7"/>
                <w:highlight w:val="none"/>
              </w:rPr>
              <w:t>（1）20</w:t>
            </w:r>
            <w:r>
              <w:rPr>
                <w:rFonts w:hint="eastAsia"/>
                <w:spacing w:val="7"/>
                <w:highlight w:val="none"/>
                <w:lang w:val="en-US" w:eastAsia="zh-CN"/>
              </w:rPr>
              <w:t>23</w:t>
            </w:r>
            <w:r>
              <w:rPr>
                <w:spacing w:val="-39"/>
                <w:highlight w:val="none"/>
              </w:rPr>
              <w:t xml:space="preserve"> </w:t>
            </w:r>
            <w:r>
              <w:rPr>
                <w:spacing w:val="7"/>
                <w:highlight w:val="none"/>
              </w:rPr>
              <w:t>年度吉林省公路建设市场信</w:t>
            </w:r>
            <w:r>
              <w:rPr>
                <w:highlight w:val="none"/>
              </w:rPr>
              <w:t xml:space="preserve">  </w:t>
            </w:r>
            <w:r>
              <w:rPr>
                <w:spacing w:val="8"/>
                <w:highlight w:val="none"/>
              </w:rPr>
              <w:t>用评价结果中投标人的企业信用等级；</w:t>
            </w:r>
            <w:r>
              <w:rPr>
                <w:spacing w:val="5"/>
                <w:highlight w:val="none"/>
              </w:rPr>
              <w:t xml:space="preserve">  </w:t>
            </w:r>
            <w:r>
              <w:rPr>
                <w:spacing w:val="6"/>
                <w:highlight w:val="none"/>
              </w:rPr>
              <w:t>（2）“交通运输部关于公布</w:t>
            </w:r>
            <w:r>
              <w:rPr>
                <w:spacing w:val="-19"/>
                <w:highlight w:val="none"/>
              </w:rPr>
              <w:t xml:space="preserve"> </w:t>
            </w:r>
            <w:r>
              <w:rPr>
                <w:spacing w:val="6"/>
                <w:highlight w:val="none"/>
              </w:rPr>
              <w:t>20</w:t>
            </w:r>
            <w:r>
              <w:rPr>
                <w:rFonts w:hint="eastAsia"/>
                <w:spacing w:val="6"/>
                <w:highlight w:val="none"/>
                <w:lang w:val="en-US" w:eastAsia="zh-CN"/>
              </w:rPr>
              <w:t>23</w:t>
            </w:r>
            <w:r>
              <w:rPr>
                <w:spacing w:val="-40"/>
                <w:highlight w:val="none"/>
              </w:rPr>
              <w:t xml:space="preserve"> </w:t>
            </w:r>
            <w:r>
              <w:rPr>
                <w:spacing w:val="6"/>
                <w:highlight w:val="none"/>
              </w:rPr>
              <w:t>年度</w:t>
            </w:r>
            <w:r>
              <w:rPr>
                <w:highlight w:val="none"/>
              </w:rPr>
              <w:t xml:space="preserve">  </w:t>
            </w:r>
            <w:r>
              <w:rPr>
                <w:spacing w:val="13"/>
                <w:highlight w:val="none"/>
              </w:rPr>
              <w:t>公路建设市场全国综合信用评价结果</w:t>
            </w:r>
            <w:r>
              <w:rPr>
                <w:spacing w:val="-63"/>
                <w:highlight w:val="none"/>
              </w:rPr>
              <w:t xml:space="preserve"> </w:t>
            </w:r>
            <w:r>
              <w:rPr>
                <w:spacing w:val="13"/>
                <w:highlight w:val="none"/>
              </w:rPr>
              <w:t>”</w:t>
            </w:r>
            <w:r>
              <w:rPr>
                <w:highlight w:val="none"/>
              </w:rPr>
              <w:t xml:space="preserve"> </w:t>
            </w:r>
            <w:r>
              <w:rPr>
                <w:spacing w:val="8"/>
                <w:highlight w:val="none"/>
              </w:rPr>
              <w:t>中投标人的企业信用等级；</w:t>
            </w:r>
          </w:p>
          <w:p w14:paraId="2A841E95">
            <w:pPr>
              <w:pStyle w:val="9"/>
              <w:spacing w:before="30" w:line="288" w:lineRule="auto"/>
              <w:ind w:left="115" w:right="109" w:firstLine="10"/>
              <w:rPr>
                <w:highlight w:val="none"/>
              </w:rPr>
            </w:pPr>
            <w:r>
              <w:rPr>
                <w:spacing w:val="3"/>
                <w:highlight w:val="none"/>
              </w:rPr>
              <w:t>（3）无上述企业信用评价的，若未列入</w:t>
            </w:r>
            <w:r>
              <w:rPr>
                <w:highlight w:val="none"/>
              </w:rPr>
              <w:t xml:space="preserve"> </w:t>
            </w:r>
            <w:r>
              <w:rPr>
                <w:spacing w:val="9"/>
                <w:highlight w:val="none"/>
              </w:rPr>
              <w:t>交通运输部“全国公路建设市场监督管</w:t>
            </w:r>
            <w:r>
              <w:rPr>
                <w:spacing w:val="7"/>
                <w:highlight w:val="none"/>
              </w:rPr>
              <w:t xml:space="preserve"> </w:t>
            </w:r>
            <w:r>
              <w:rPr>
                <w:spacing w:val="4"/>
                <w:highlight w:val="none"/>
              </w:rPr>
              <w:t>理系统</w:t>
            </w:r>
            <w:r>
              <w:rPr>
                <w:spacing w:val="-58"/>
                <w:highlight w:val="none"/>
              </w:rPr>
              <w:t xml:space="preserve"> </w:t>
            </w:r>
            <w:r>
              <w:rPr>
                <w:spacing w:val="4"/>
                <w:highlight w:val="none"/>
              </w:rPr>
              <w:t>”“不良行为记录</w:t>
            </w:r>
            <w:r>
              <w:rPr>
                <w:spacing w:val="-69"/>
                <w:highlight w:val="none"/>
              </w:rPr>
              <w:t xml:space="preserve"> </w:t>
            </w:r>
            <w:r>
              <w:rPr>
                <w:spacing w:val="4"/>
                <w:highlight w:val="none"/>
              </w:rPr>
              <w:t>”的，按</w:t>
            </w:r>
            <w:r>
              <w:rPr>
                <w:spacing w:val="-46"/>
                <w:highlight w:val="none"/>
              </w:rPr>
              <w:t xml:space="preserve"> </w:t>
            </w:r>
            <w:r>
              <w:rPr>
                <w:spacing w:val="4"/>
                <w:highlight w:val="none"/>
              </w:rPr>
              <w:t>A</w:t>
            </w:r>
            <w:r>
              <w:rPr>
                <w:spacing w:val="-35"/>
                <w:highlight w:val="none"/>
              </w:rPr>
              <w:t xml:space="preserve"> </w:t>
            </w:r>
            <w:r>
              <w:rPr>
                <w:spacing w:val="4"/>
                <w:highlight w:val="none"/>
              </w:rPr>
              <w:t>级</w:t>
            </w:r>
            <w:r>
              <w:rPr>
                <w:highlight w:val="none"/>
              </w:rPr>
              <w:t xml:space="preserve"> </w:t>
            </w:r>
            <w:r>
              <w:rPr>
                <w:spacing w:val="5"/>
                <w:highlight w:val="none"/>
              </w:rPr>
              <w:t>对待，否则按</w:t>
            </w:r>
            <w:r>
              <w:rPr>
                <w:spacing w:val="-33"/>
                <w:highlight w:val="none"/>
              </w:rPr>
              <w:t xml:space="preserve"> </w:t>
            </w:r>
            <w:r>
              <w:rPr>
                <w:spacing w:val="5"/>
                <w:highlight w:val="none"/>
              </w:rPr>
              <w:t>C</w:t>
            </w:r>
            <w:r>
              <w:rPr>
                <w:spacing w:val="-35"/>
                <w:highlight w:val="none"/>
              </w:rPr>
              <w:t xml:space="preserve"> </w:t>
            </w:r>
            <w:r>
              <w:rPr>
                <w:spacing w:val="5"/>
                <w:highlight w:val="none"/>
              </w:rPr>
              <w:t>级、D</w:t>
            </w:r>
            <w:r>
              <w:rPr>
                <w:spacing w:val="-37"/>
                <w:highlight w:val="none"/>
              </w:rPr>
              <w:t xml:space="preserve"> </w:t>
            </w:r>
            <w:r>
              <w:rPr>
                <w:spacing w:val="5"/>
                <w:highlight w:val="none"/>
              </w:rPr>
              <w:t>级对待。</w:t>
            </w:r>
          </w:p>
          <w:p w14:paraId="517EEB46">
            <w:pPr>
              <w:pStyle w:val="9"/>
              <w:spacing w:before="31" w:line="228" w:lineRule="auto"/>
              <w:ind w:left="109"/>
              <w:rPr>
                <w:highlight w:val="none"/>
              </w:rPr>
            </w:pPr>
            <w:r>
              <w:rPr>
                <w:spacing w:val="-2"/>
                <w:highlight w:val="none"/>
              </w:rPr>
              <w:t>AA</w:t>
            </w:r>
            <w:r>
              <w:rPr>
                <w:spacing w:val="-34"/>
                <w:highlight w:val="none"/>
              </w:rPr>
              <w:t xml:space="preserve"> </w:t>
            </w:r>
            <w:r>
              <w:rPr>
                <w:spacing w:val="-2"/>
                <w:highlight w:val="none"/>
              </w:rPr>
              <w:t>级</w:t>
            </w:r>
            <w:r>
              <w:rPr>
                <w:spacing w:val="6"/>
                <w:highlight w:val="none"/>
              </w:rPr>
              <w:t xml:space="preserve">            </w:t>
            </w:r>
            <w:r>
              <w:rPr>
                <w:spacing w:val="-2"/>
                <w:highlight w:val="none"/>
              </w:rPr>
              <w:t>10</w:t>
            </w:r>
            <w:r>
              <w:rPr>
                <w:spacing w:val="-24"/>
                <w:highlight w:val="none"/>
              </w:rPr>
              <w:t xml:space="preserve"> </w:t>
            </w:r>
            <w:r>
              <w:rPr>
                <w:spacing w:val="-2"/>
                <w:highlight w:val="none"/>
              </w:rPr>
              <w:t>分</w:t>
            </w:r>
          </w:p>
          <w:p w14:paraId="06F34C56">
            <w:pPr>
              <w:pStyle w:val="9"/>
              <w:spacing w:before="74" w:line="228" w:lineRule="auto"/>
              <w:ind w:left="109"/>
              <w:rPr>
                <w:highlight w:val="none"/>
              </w:rPr>
            </w:pPr>
            <w:r>
              <w:rPr>
                <w:spacing w:val="-2"/>
                <w:highlight w:val="none"/>
              </w:rPr>
              <w:t>A</w:t>
            </w:r>
            <w:r>
              <w:rPr>
                <w:spacing w:val="-35"/>
                <w:highlight w:val="none"/>
              </w:rPr>
              <w:t xml:space="preserve"> </w:t>
            </w:r>
            <w:r>
              <w:rPr>
                <w:spacing w:val="-2"/>
                <w:highlight w:val="none"/>
              </w:rPr>
              <w:t>级</w:t>
            </w:r>
            <w:r>
              <w:rPr>
                <w:spacing w:val="5"/>
                <w:highlight w:val="none"/>
              </w:rPr>
              <w:t xml:space="preserve">             </w:t>
            </w:r>
            <w:r>
              <w:rPr>
                <w:spacing w:val="-2"/>
                <w:highlight w:val="none"/>
              </w:rPr>
              <w:t>8</w:t>
            </w:r>
            <w:r>
              <w:rPr>
                <w:spacing w:val="-26"/>
                <w:highlight w:val="none"/>
              </w:rPr>
              <w:t xml:space="preserve"> </w:t>
            </w:r>
            <w:r>
              <w:rPr>
                <w:spacing w:val="-2"/>
                <w:highlight w:val="none"/>
              </w:rPr>
              <w:t>分</w:t>
            </w:r>
          </w:p>
          <w:p w14:paraId="7CE5ED3B">
            <w:pPr>
              <w:pStyle w:val="9"/>
              <w:spacing w:before="73" w:line="228" w:lineRule="auto"/>
              <w:ind w:left="111"/>
              <w:rPr>
                <w:highlight w:val="none"/>
              </w:rPr>
            </w:pPr>
            <w:r>
              <w:rPr>
                <w:spacing w:val="-2"/>
                <w:highlight w:val="none"/>
              </w:rPr>
              <w:t>B</w:t>
            </w:r>
            <w:r>
              <w:rPr>
                <w:spacing w:val="-37"/>
                <w:highlight w:val="none"/>
              </w:rPr>
              <w:t xml:space="preserve"> </w:t>
            </w:r>
            <w:r>
              <w:rPr>
                <w:spacing w:val="-2"/>
                <w:highlight w:val="none"/>
              </w:rPr>
              <w:t>级</w:t>
            </w:r>
            <w:r>
              <w:rPr>
                <w:spacing w:val="5"/>
                <w:highlight w:val="none"/>
              </w:rPr>
              <w:t xml:space="preserve">             </w:t>
            </w:r>
            <w:r>
              <w:rPr>
                <w:spacing w:val="-2"/>
                <w:highlight w:val="none"/>
              </w:rPr>
              <w:t>6</w:t>
            </w:r>
            <w:r>
              <w:rPr>
                <w:spacing w:val="-25"/>
                <w:highlight w:val="none"/>
              </w:rPr>
              <w:t xml:space="preserve"> </w:t>
            </w:r>
            <w:r>
              <w:rPr>
                <w:spacing w:val="-2"/>
                <w:highlight w:val="none"/>
              </w:rPr>
              <w:t>分</w:t>
            </w:r>
          </w:p>
          <w:p w14:paraId="437CA2CC">
            <w:pPr>
              <w:pStyle w:val="9"/>
              <w:spacing w:before="71" w:line="228" w:lineRule="auto"/>
              <w:ind w:left="114"/>
              <w:rPr>
                <w:highlight w:val="none"/>
              </w:rPr>
            </w:pPr>
            <w:r>
              <w:rPr>
                <w:spacing w:val="2"/>
                <w:highlight w:val="none"/>
              </w:rPr>
              <w:t>C、D</w:t>
            </w:r>
            <w:r>
              <w:rPr>
                <w:spacing w:val="-39"/>
                <w:highlight w:val="none"/>
              </w:rPr>
              <w:t xml:space="preserve"> </w:t>
            </w:r>
            <w:r>
              <w:rPr>
                <w:spacing w:val="2"/>
                <w:highlight w:val="none"/>
              </w:rPr>
              <w:t>等级</w:t>
            </w:r>
            <w:r>
              <w:rPr>
                <w:spacing w:val="6"/>
                <w:highlight w:val="none"/>
              </w:rPr>
              <w:t xml:space="preserve">        </w:t>
            </w:r>
            <w:r>
              <w:rPr>
                <w:spacing w:val="2"/>
                <w:highlight w:val="none"/>
              </w:rPr>
              <w:t>0</w:t>
            </w:r>
            <w:r>
              <w:rPr>
                <w:spacing w:val="-32"/>
                <w:highlight w:val="none"/>
              </w:rPr>
              <w:t xml:space="preserve"> </w:t>
            </w:r>
            <w:r>
              <w:rPr>
                <w:spacing w:val="2"/>
                <w:highlight w:val="none"/>
              </w:rPr>
              <w:t>分</w:t>
            </w:r>
          </w:p>
          <w:p w14:paraId="18A1EEE0">
            <w:pPr>
              <w:pStyle w:val="9"/>
              <w:spacing w:before="74" w:line="280" w:lineRule="auto"/>
              <w:ind w:left="116" w:right="114" w:hanging="1"/>
              <w:rPr>
                <w:highlight w:val="none"/>
              </w:rPr>
            </w:pPr>
          </w:p>
        </w:tc>
      </w:tr>
      <w:tr w14:paraId="1D11091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9585" w:type="dxa"/>
            <w:gridSpan w:val="7"/>
            <w:vAlign w:val="top"/>
          </w:tcPr>
          <w:p w14:paraId="37025865">
            <w:pPr>
              <w:spacing w:line="272" w:lineRule="auto"/>
              <w:rPr>
                <w:rFonts w:ascii="Arial"/>
                <w:sz w:val="21"/>
              </w:rPr>
            </w:pPr>
          </w:p>
          <w:p w14:paraId="01A8B452">
            <w:pPr>
              <w:pStyle w:val="9"/>
              <w:spacing w:before="65" w:line="228" w:lineRule="auto"/>
              <w:ind w:left="127"/>
            </w:pPr>
            <w:r>
              <w:rPr>
                <w:spacing w:val="8"/>
              </w:rPr>
              <w:t>需要补充的其他内容：无</w:t>
            </w:r>
          </w:p>
        </w:tc>
      </w:tr>
    </w:tbl>
    <w:p w14:paraId="1C3F593B">
      <w:pPr>
        <w:pStyle w:val="4"/>
      </w:pPr>
    </w:p>
    <w:p w14:paraId="390E4739">
      <w:pPr>
        <w:pStyle w:val="2"/>
        <w:keepNext w:val="0"/>
        <w:spacing w:before="0" w:beforeLines="0" w:after="0" w:afterLines="0" w:line="360" w:lineRule="auto"/>
        <w:jc w:val="left"/>
        <w:rPr>
          <w:rFonts w:hint="default" w:ascii="黑体" w:eastAsia="黑体"/>
          <w:b w:val="0"/>
          <w:sz w:val="28"/>
          <w:szCs w:val="28"/>
        </w:rPr>
      </w:pPr>
      <w:r>
        <w:rPr>
          <w:rFonts w:hint="eastAsia" w:ascii="黑体" w:eastAsia="黑体"/>
          <w:b w:val="0"/>
          <w:sz w:val="28"/>
          <w:szCs w:val="28"/>
        </w:rPr>
        <w:t>6、公开时间</w:t>
      </w:r>
    </w:p>
    <w:p w14:paraId="1E844EF7">
      <w:pPr>
        <w:adjustRightInd w:val="0"/>
        <w:snapToGrid w:val="0"/>
        <w:spacing w:beforeLines="0" w:afterLines="0" w:line="360" w:lineRule="auto"/>
        <w:ind w:firstLine="420" w:firstLineChars="200"/>
        <w:rPr>
          <w:rFonts w:hint="default"/>
          <w:b/>
          <w:sz w:val="30"/>
          <w:szCs w:val="30"/>
        </w:rPr>
      </w:pPr>
      <w:r>
        <w:rPr>
          <w:rFonts w:hint="eastAsia" w:ascii="宋体" w:hAnsi="宋体" w:cs="宋体"/>
          <w:sz w:val="21"/>
          <w:szCs w:val="21"/>
        </w:rPr>
        <w:t>本次招标，招标文件关键内容信息公开时间至投标截止时间10日前结束。</w:t>
      </w:r>
    </w:p>
    <w:p w14:paraId="7DB9988D">
      <w:pPr>
        <w:widowControl/>
        <w:spacing w:beforeLines="0" w:afterLines="0" w:line="360" w:lineRule="auto"/>
        <w:jc w:val="left"/>
        <w:rPr>
          <w:rFonts w:hint="default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7、招标人联系方式</w:t>
      </w:r>
    </w:p>
    <w:tbl>
      <w:tblPr>
        <w:tblStyle w:val="7"/>
        <w:tblW w:w="0" w:type="auto"/>
        <w:jc w:val="center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8"/>
        <w:gridCol w:w="4500"/>
      </w:tblGrid>
      <w:tr w14:paraId="323BF3DC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4788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noWrap w:val="0"/>
            <w:vAlign w:val="top"/>
          </w:tcPr>
          <w:p w14:paraId="736BAADD">
            <w:pPr>
              <w:adjustRightInd w:val="0"/>
              <w:snapToGrid w:val="0"/>
              <w:spacing w:beforeLines="0" w:afterLines="0" w:line="360" w:lineRule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 xml:space="preserve">招标人: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镇赉县博源路桥建设管理有限公司</w:t>
            </w:r>
          </w:p>
          <w:p w14:paraId="3B96CDAB">
            <w:pPr>
              <w:adjustRightInd w:val="0"/>
              <w:snapToGrid w:val="0"/>
              <w:spacing w:beforeLines="0" w:afterLines="0" w:line="360" w:lineRule="auto"/>
              <w:ind w:firstLine="420" w:firstLineChars="200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450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noWrap w:val="0"/>
            <w:vAlign w:val="top"/>
          </w:tcPr>
          <w:p w14:paraId="376F83EF">
            <w:pPr>
              <w:adjustRightInd w:val="0"/>
              <w:snapToGrid w:val="0"/>
              <w:spacing w:beforeLines="0" w:afterLines="0" w:line="360" w:lineRule="auto"/>
              <w:rPr>
                <w:rFonts w:hint="default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招标代理机构: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吉林省英博睿工程项目管理有限公司</w:t>
            </w:r>
          </w:p>
        </w:tc>
      </w:tr>
      <w:tr w14:paraId="6C1451BC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4788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noWrap w:val="0"/>
            <w:vAlign w:val="top"/>
          </w:tcPr>
          <w:p w14:paraId="4F31D6D9">
            <w:pPr>
              <w:adjustRightInd w:val="0"/>
              <w:snapToGrid w:val="0"/>
              <w:spacing w:beforeLines="0" w:afterLines="0" w:line="360" w:lineRule="auto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 xml:space="preserve">地址: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镇赉县</w:t>
            </w:r>
          </w:p>
        </w:tc>
        <w:tc>
          <w:tcPr>
            <w:tcW w:w="450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noWrap w:val="0"/>
            <w:vAlign w:val="top"/>
          </w:tcPr>
          <w:p w14:paraId="542B7D52">
            <w:pPr>
              <w:adjustRightInd w:val="0"/>
              <w:snapToGrid w:val="0"/>
              <w:spacing w:beforeLines="0" w:afterLines="0" w:line="360" w:lineRule="auto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地址：</w:t>
            </w:r>
            <w:r>
              <w:rPr>
                <w:rFonts w:hint="eastAsia" w:ascii="宋体" w:hAnsi="宋体" w:cs="宋体"/>
                <w:sz w:val="21"/>
                <w:szCs w:val="21"/>
                <w:lang w:val="zh-CN" w:eastAsia="zh-CN"/>
              </w:rPr>
              <w:t>长春市净月区天工路与生态西街交汇明宇广场A4座1301室</w:t>
            </w:r>
          </w:p>
        </w:tc>
      </w:tr>
      <w:tr w14:paraId="1AAB05D1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4788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noWrap w:val="0"/>
            <w:vAlign w:val="top"/>
          </w:tcPr>
          <w:p w14:paraId="3E5B9B4D">
            <w:pPr>
              <w:adjustRightInd w:val="0"/>
              <w:snapToGrid w:val="0"/>
              <w:spacing w:beforeLines="0" w:afterLines="0" w:line="360" w:lineRule="auto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 xml:space="preserve">邮编: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137000</w:t>
            </w:r>
          </w:p>
        </w:tc>
        <w:tc>
          <w:tcPr>
            <w:tcW w:w="450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noWrap w:val="0"/>
            <w:vAlign w:val="top"/>
          </w:tcPr>
          <w:p w14:paraId="32CDE3A7">
            <w:pPr>
              <w:adjustRightInd w:val="0"/>
              <w:snapToGrid w:val="0"/>
              <w:spacing w:beforeLines="0" w:afterLines="0" w:line="360" w:lineRule="auto"/>
              <w:rPr>
                <w:rFonts w:hint="default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邮    编: 130000</w:t>
            </w:r>
          </w:p>
        </w:tc>
      </w:tr>
      <w:tr w14:paraId="5F8B9329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4788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noWrap w:val="0"/>
            <w:vAlign w:val="top"/>
          </w:tcPr>
          <w:p w14:paraId="0B13B3FD">
            <w:pPr>
              <w:autoSpaceDE w:val="0"/>
              <w:autoSpaceDN w:val="0"/>
              <w:adjustRightInd w:val="0"/>
              <w:spacing w:beforeLines="0" w:afterLines="0" w:line="360" w:lineRule="auto"/>
              <w:jc w:val="left"/>
              <w:rPr>
                <w:rFonts w:hint="default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联 系 人:</w:t>
            </w:r>
            <w:r>
              <w:rPr>
                <w:rFonts w:hint="eastAsia" w:ascii="宋体" w:hAnsi="宋体" w:eastAsia="宋体" w:cs="宋体"/>
                <w:spacing w:val="9"/>
                <w:sz w:val="20"/>
                <w:szCs w:val="20"/>
                <w:lang w:val="en-US" w:eastAsia="zh-CN"/>
              </w:rPr>
              <w:t>王会民</w:t>
            </w:r>
          </w:p>
        </w:tc>
        <w:tc>
          <w:tcPr>
            <w:tcW w:w="450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noWrap w:val="0"/>
            <w:vAlign w:val="top"/>
          </w:tcPr>
          <w:p w14:paraId="03A83FFB">
            <w:pPr>
              <w:autoSpaceDE w:val="0"/>
              <w:autoSpaceDN w:val="0"/>
              <w:adjustRightInd w:val="0"/>
              <w:spacing w:beforeLines="0" w:afterLines="0" w:line="360" w:lineRule="auto"/>
              <w:rPr>
                <w:rFonts w:hint="eastAsia" w:ascii="宋体" w:hAnsi="宋体" w:cs="宋体" w:eastAsiaTheme="minorEastAsia"/>
                <w:sz w:val="21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 xml:space="preserve">联 系 人: </w:t>
            </w:r>
            <w:r>
              <w:rPr>
                <w:rFonts w:hint="eastAsia" w:ascii="宋体" w:hAnsi="宋体" w:cs="宋体"/>
                <w:sz w:val="21"/>
                <w:szCs w:val="22"/>
                <w:lang w:val="en-US" w:eastAsia="zh-CN"/>
              </w:rPr>
              <w:t>郑爽</w:t>
            </w:r>
          </w:p>
        </w:tc>
      </w:tr>
      <w:tr w14:paraId="3F4E2543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4788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noWrap w:val="0"/>
            <w:vAlign w:val="top"/>
          </w:tcPr>
          <w:p w14:paraId="614518B5">
            <w:pPr>
              <w:spacing w:before="111" w:line="228" w:lineRule="auto"/>
              <w:rPr>
                <w:rFonts w:hint="default" w:ascii="宋体" w:hAnsi="宋体" w:eastAsia="宋体" w:cs="宋体"/>
                <w:spacing w:val="9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电    话:</w:t>
            </w:r>
            <w:r>
              <w:rPr>
                <w:rFonts w:hint="eastAsia" w:ascii="宋体" w:hAnsi="宋体" w:eastAsia="宋体" w:cs="宋体"/>
                <w:spacing w:val="9"/>
                <w:sz w:val="20"/>
                <w:szCs w:val="20"/>
                <w:lang w:val="en-US" w:eastAsia="zh-CN"/>
              </w:rPr>
              <w:t>13943620299</w:t>
            </w:r>
          </w:p>
          <w:p w14:paraId="50F4465D">
            <w:pPr>
              <w:autoSpaceDE w:val="0"/>
              <w:autoSpaceDN w:val="0"/>
              <w:adjustRightInd w:val="0"/>
              <w:spacing w:beforeLines="0" w:afterLines="0" w:line="360" w:lineRule="auto"/>
              <w:jc w:val="left"/>
              <w:rPr>
                <w:rFonts w:hint="default" w:ascii="宋体" w:hAnsi="宋体" w:cs="宋体"/>
                <w:sz w:val="21"/>
                <w:szCs w:val="21"/>
              </w:rPr>
            </w:pPr>
          </w:p>
        </w:tc>
        <w:tc>
          <w:tcPr>
            <w:tcW w:w="450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noWrap w:val="0"/>
            <w:vAlign w:val="top"/>
          </w:tcPr>
          <w:p w14:paraId="69257EDE">
            <w:pPr>
              <w:autoSpaceDE w:val="0"/>
              <w:autoSpaceDN w:val="0"/>
              <w:adjustRightInd w:val="0"/>
              <w:spacing w:beforeLines="0" w:afterLines="0" w:line="360" w:lineRule="auto"/>
              <w:jc w:val="left"/>
              <w:rPr>
                <w:rFonts w:hint="default" w:ascii="宋体" w:hAnsi="宋体" w:cs="宋体" w:eastAsiaTheme="minorEastAsia"/>
                <w:sz w:val="21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电    话:</w:t>
            </w:r>
            <w:r>
              <w:rPr>
                <w:rFonts w:hint="eastAsia" w:ascii="宋体" w:hAnsi="宋体" w:cs="宋体"/>
                <w:sz w:val="21"/>
                <w:szCs w:val="22"/>
                <w:lang w:val="en-US" w:eastAsia="zh-CN"/>
              </w:rPr>
              <w:t>18186865005</w:t>
            </w:r>
          </w:p>
        </w:tc>
      </w:tr>
    </w:tbl>
    <w:p w14:paraId="2137896B">
      <w:pPr>
        <w:sectPr>
          <w:footerReference r:id="rId8" w:type="default"/>
          <w:pgSz w:w="11900" w:h="16840"/>
          <w:pgMar w:top="852" w:right="1155" w:bottom="1041" w:left="1080" w:header="0" w:footer="854" w:gutter="0"/>
          <w:cols w:space="720" w:num="1"/>
        </w:sectPr>
      </w:pPr>
    </w:p>
    <w:p w14:paraId="049F2AA2">
      <w:pPr>
        <w:jc w:val="both"/>
        <w:rPr>
          <w:rFonts w:hint="eastAsia" w:ascii="宋体" w:hAnsi="宋体" w:eastAsia="宋体" w:cs="宋体"/>
          <w:sz w:val="20"/>
          <w:szCs w:val="2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4E6605">
    <w:pPr>
      <w:spacing w:line="184" w:lineRule="auto"/>
      <w:ind w:left="4790"/>
      <w:rPr>
        <w:rFonts w:ascii="Times New Roman" w:hAnsi="Times New Roman" w:eastAsia="Times New Roman" w:cs="Times New Roman"/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AD807F">
    <w:pPr>
      <w:spacing w:line="184" w:lineRule="auto"/>
      <w:ind w:left="4772"/>
      <w:rPr>
        <w:rFonts w:ascii="Times New Roman" w:hAnsi="Times New Roman" w:eastAsia="Times New Roman" w:cs="Times New Roman"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6BAAA3">
    <w:pPr>
      <w:spacing w:line="184" w:lineRule="auto"/>
      <w:ind w:left="4772"/>
      <w:rPr>
        <w:rFonts w:ascii="Times New Roman" w:hAnsi="Times New Roman" w:eastAsia="Times New Roman" w:cs="Times New Roman"/>
        <w:sz w:val="20"/>
        <w:szCs w:val="20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BD465E">
    <w:pPr>
      <w:spacing w:line="184" w:lineRule="auto"/>
      <w:ind w:left="4772"/>
      <w:rPr>
        <w:rFonts w:ascii="Times New Roman" w:hAnsi="Times New Roman" w:eastAsia="Times New Roman" w:cs="Times New Roman"/>
        <w:sz w:val="20"/>
        <w:szCs w:val="20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0E689D">
    <w:pPr>
      <w:spacing w:line="184" w:lineRule="auto"/>
      <w:ind w:left="4772"/>
      <w:rPr>
        <w:rFonts w:ascii="Times New Roman" w:hAnsi="Times New Roman" w:eastAsia="Times New Roman" w:cs="Times New Roman"/>
        <w:sz w:val="20"/>
        <w:szCs w:val="20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494B48">
    <w:pPr>
      <w:spacing w:line="184" w:lineRule="auto"/>
      <w:ind w:left="4772"/>
      <w:rPr>
        <w:rFonts w:ascii="Times New Roman" w:hAnsi="Times New Roman" w:eastAsia="Times New Roman" w:cs="Times New Roman"/>
        <w:sz w:val="20"/>
        <w:szCs w:val="20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176EFD"/>
    <w:rsid w:val="5A176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rFonts w:ascii="Times New Roman" w:hAnsi="Times New Roman" w:eastAsia="宋体" w:cs="Times New Roman"/>
      <w:b/>
      <w:bCs/>
      <w:sz w:val="32"/>
      <w:szCs w:val="32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customStyle="1" w:styleId="9">
    <w:name w:val="Table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  <w:style w:type="table" w:customStyle="1" w:styleId="10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2025-06-27T07:22:00Z</dcterms:created>
  <dc:creator>Administrator</dc:creator>
  <cp:lastModifiedBy>Administrator</cp:lastModifiedBy>
  <cp:lastPrinted>2025-06-27T07:51:11Z</cp:lastPrinted>
  <dcterms:modified xsi:type="dcterms:W3CDTF">2025-06-27T07:51:41Z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498A57981C704786A2A0A2635E3B9635_11</vt:lpwstr>
  </property>
  <property fmtid="{D5CDD505-2E9C-101B-9397-08002B2CF9AE}" pid="4" name="KSOTemplateDocerSaveRecord">
    <vt:lpwstr>eyJoZGlkIjoiOTViMGY4MGQ5MWRjODUxZGE2ODJjZGRiNDA3OTQ5MDciLCJ1c2VySWQiOiI0NTA3NTEzOTcifQ==</vt:lpwstr>
  </property>
</Properties>
</file>