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53AE9">
      <w:pPr>
        <w:jc w:val="center"/>
        <w:rPr>
          <w:rFonts w:hint="eastAsia" w:ascii="黑体" w:hAnsi="黑体" w:eastAsia="黑体"/>
          <w:sz w:val="36"/>
          <w:szCs w:val="36"/>
          <w:lang w:val="en-US" w:eastAsia="zh-CN"/>
        </w:rPr>
      </w:pPr>
      <w:r>
        <w:rPr>
          <w:rFonts w:hint="eastAsia" w:ascii="黑体" w:hAnsi="黑体" w:eastAsia="黑体"/>
          <w:sz w:val="36"/>
          <w:szCs w:val="36"/>
        </w:rPr>
        <w:t>长春市省道环长春经济圈公路双阳南出口至山湾子段路面改造工程施工监理</w:t>
      </w:r>
      <w:r>
        <w:rPr>
          <w:rFonts w:hint="eastAsia" w:ascii="黑体" w:hAnsi="黑体" w:eastAsia="黑体"/>
          <w:sz w:val="36"/>
          <w:szCs w:val="36"/>
          <w:lang w:val="en-US" w:eastAsia="zh-CN"/>
        </w:rPr>
        <w:t>关键性内容摘录表</w:t>
      </w:r>
    </w:p>
    <w:p w14:paraId="5F33651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第二章  投标人须知</w:t>
      </w:r>
    </w:p>
    <w:p w14:paraId="7B375F65">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投标人须知前附表[ a.“投标人须知前附表”用于进一步明确正文中的未尽事宜。“投标人须知正文”是《公路工程标准施工监理招标文件》（2018年版）中的原文引用。“投标人须知前附表”与“投标人须知正文”不一致之处，以“投标人须知前附表”为准。</w:t>
      </w:r>
    </w:p>
    <w:p w14:paraId="3B9E3C29">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b.“投标人须知前附表”中的附录表格同属“投标人须知前附表”内容，具有同等效力。</w:t>
      </w:r>
    </w:p>
    <w:p w14:paraId="18847C55">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p w14:paraId="2BBA8C8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条款号</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条款名称</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编  列  内  容</w:t>
      </w:r>
    </w:p>
    <w:p w14:paraId="5BCAE94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1.1.2</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招标人</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见第一章招标公告</w:t>
      </w:r>
    </w:p>
    <w:p w14:paraId="7774114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1.1.3</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招标代理机构</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见第一章招标公告</w:t>
      </w:r>
    </w:p>
    <w:p w14:paraId="658B1AD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1.1.4</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招标项目名称</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长春市省道环长春经济圈公路双阳南出口至山湾子段路面改造工程施工监理</w:t>
      </w:r>
    </w:p>
    <w:p w14:paraId="66930BF0">
      <w:pPr>
        <w:rPr>
          <w:rFonts w:hint="eastAsia" w:asciiTheme="minorEastAsia" w:hAnsiTheme="minorEastAsia" w:eastAsiaTheme="minorEastAsia" w:cstheme="minorEastAsia"/>
          <w:sz w:val="22"/>
          <w:szCs w:val="22"/>
          <w:lang w:val="en-US" w:eastAsia="zh-CN"/>
        </w:rPr>
      </w:pPr>
    </w:p>
    <w:p w14:paraId="415096E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1.1.5</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标段建设地点</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见第一章招标公告</w:t>
      </w:r>
    </w:p>
    <w:p w14:paraId="7DA8900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1.1.6</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标段建设规模</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见第一章招标公告</w:t>
      </w:r>
    </w:p>
    <w:p w14:paraId="0F3B820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1.1.7</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招标项目施工预计开工日期和建设周期</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见第一章招标公告</w:t>
      </w:r>
    </w:p>
    <w:p w14:paraId="4963280C">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1.1.8</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建筑安装工程费</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建筑安装工程费约40259940元</w:t>
      </w:r>
    </w:p>
    <w:p w14:paraId="5C478C3F">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资金来源及比例</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见招标公告</w:t>
      </w:r>
    </w:p>
    <w:p w14:paraId="2F45F51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1.2.2</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资金落实情况</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已落实</w:t>
      </w:r>
    </w:p>
    <w:p w14:paraId="15F94826">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招标范围</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总监理工程师办公室</w:t>
      </w:r>
    </w:p>
    <w:p w14:paraId="1EE3D12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1.3.2</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监理服务期限</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见第一章招标公告</w:t>
      </w:r>
    </w:p>
    <w:p w14:paraId="472E922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1.3.3</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质量要求</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 xml:space="preserve">竣工验收的质量评定： 优良 </w:t>
      </w:r>
    </w:p>
    <w:p w14:paraId="37D29E0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1.3.4</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安全目标</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禁止发生一般及以上等级生产安全事故</w:t>
      </w:r>
    </w:p>
    <w:p w14:paraId="48F25A2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投标人资质条件、能力和信誉</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资质要求：见附录1</w:t>
      </w:r>
    </w:p>
    <w:p w14:paraId="77B6769F">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业绩要求：见附录2</w:t>
      </w:r>
    </w:p>
    <w:p w14:paraId="599D2F2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信誉要求：见附录3</w:t>
      </w:r>
    </w:p>
    <w:p w14:paraId="0A8DF16C">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总监理工程师资格：见附录4</w:t>
      </w:r>
    </w:p>
    <w:p w14:paraId="4B5EF5B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其他要求：/</w:t>
      </w:r>
    </w:p>
    <w:p w14:paraId="208D93E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1.4.2</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是否接受联合体投标</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接受，联合体投标的，应满足下列要求：见第一章招标公告</w:t>
      </w:r>
    </w:p>
    <w:p w14:paraId="6B5E6A3A">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1.4.3</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投标人不得存在的其他关联情形</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w:t>
      </w:r>
    </w:p>
    <w:p w14:paraId="623369E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1.4.4</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投标人不得存在的其他不良状况或不良信用记录</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（6）修改为：投标人或其法定代表人、拟委任的总监理工程师在近三年内有行贿犯罪行为的。</w:t>
      </w:r>
    </w:p>
    <w:p w14:paraId="6786802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1.10.2</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投标人在投标预备会前提出问题</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时间：不适用</w:t>
      </w:r>
    </w:p>
    <w:p w14:paraId="04CF67F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形式：不适用</w:t>
      </w:r>
    </w:p>
    <w:p w14:paraId="3247949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构成招标文件的其他资料</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投标文件关键内容摘录表、图纸扫描件由招标人提供。百度网盘链接：</w:t>
      </w:r>
    </w:p>
    <w:p w14:paraId="4CF6EF86">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链接:  提取码: ，由投标人自行下载。</w:t>
      </w:r>
    </w:p>
    <w:p w14:paraId="43E9DE0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投标人要求澄清招标文件</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时间：递交投标文件截止时间10日前</w:t>
      </w:r>
    </w:p>
    <w:p w14:paraId="6205E95F">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形式：使用　CA　数字证书登录“电子交易平台”，在“投标答疑”菜单以书面形式要求招标人对招标文件予以澄清。</w:t>
      </w:r>
    </w:p>
    <w:p w14:paraId="21CF8BE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2.2.2</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招标文件澄清发出的形式</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通过“电子交易平台”发出招标文件澄清</w:t>
      </w:r>
    </w:p>
    <w:p w14:paraId="3FE3D64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招标文件修改发出的形式</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通过“电子交易平台”发出招标文件修改</w:t>
      </w:r>
    </w:p>
    <w:p w14:paraId="0C6021DC">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2.3.2</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投标人确认收到招标文件修改</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时间：/</w:t>
      </w:r>
    </w:p>
    <w:p w14:paraId="15A50D19">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形式：投标人应自行关注并浏览电子交易平台信息，无需确认。</w:t>
      </w:r>
    </w:p>
    <w:p w14:paraId="3108736C">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构成投标文件的其他资料</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w:t>
      </w:r>
    </w:p>
    <w:p w14:paraId="2BD7801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增值税税金的计算方法</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增值税税金的计算按国家相关规定执行。</w:t>
      </w:r>
    </w:p>
    <w:p w14:paraId="6D81329C">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3.2.3</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报价方式</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总价</w:t>
      </w:r>
    </w:p>
    <w:p w14:paraId="796F820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3.2.4</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最高投标限价</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有，最高投标限价592827.55元（其中含暂列金额0元）</w:t>
      </w:r>
    </w:p>
    <w:p w14:paraId="78EA9BB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3.2.5</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投标报价的</w:t>
      </w:r>
    </w:p>
    <w:p w14:paraId="1C6DA20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其他要求</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为构建“互联网+便捷交通”质监数据应用，本项目在施工及管理过程中使用工程管理软件，以实现无纸化、网上签批、电子存档相关内容，投标人报价中应考虑电脑、网络、电子签章等费用（不包含技术服务费）。</w:t>
      </w:r>
    </w:p>
    <w:p w14:paraId="0A05263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投标有效期</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自投标人提交投标文件截止之日起计算90日</w:t>
      </w:r>
    </w:p>
    <w:p w14:paraId="1673284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投标保证金</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投标保证金的金额：5000元</w:t>
      </w:r>
    </w:p>
    <w:p w14:paraId="415C18F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投标保证金可采用的其他形式：符合吉林省政务服务和数字化建设管理局发布的“关于调整吉林省公共资源交易一体化平台电子保函担保业务的公告”规定的电子保函或保单。</w:t>
      </w:r>
    </w:p>
    <w:p w14:paraId="544BAD23">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招标人指定的开户银行及账号如下：</w:t>
      </w:r>
    </w:p>
    <w:p w14:paraId="2734232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企业名称：吉林鑫禹建设项目管理有限公司</w:t>
      </w:r>
    </w:p>
    <w:p w14:paraId="246E9FDA">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开户行：长春净月榆银村镇银行股份有限公司</w:t>
      </w:r>
    </w:p>
    <w:p w14:paraId="48336F2C">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账号：1010010121015200007002</w:t>
      </w:r>
    </w:p>
    <w:p w14:paraId="2F413A19">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行号：320241000108</w:t>
      </w:r>
    </w:p>
    <w:p w14:paraId="609D82CC">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采用银行保函时，出具保函的银行级别：符合吉林省政务服务和数字化建设管理局发布的“关于调整吉林省公共资源交易一体化平台电子保函担保业务的公告”规定的银行。</w:t>
      </w:r>
    </w:p>
    <w:p w14:paraId="0CF8588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3.4.3</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投标保证金的</w:t>
      </w:r>
    </w:p>
    <w:p w14:paraId="49A0BDD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利息计算原则</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（1）计算利息的起始日期为投标截止当日，终止日期为招标人退还投标保证金日期的前一日；</w:t>
      </w:r>
    </w:p>
    <w:p w14:paraId="6259D76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（2）投标保证金的利息按照第（1）款所述计息时间段内招标人指定汇入银行公告的活期存款利率计付，并扣除招标人汇款手续费；</w:t>
      </w:r>
    </w:p>
    <w:p w14:paraId="23A6D69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（3）利息金额计算至分位，分以下尾数四舍五入。</w:t>
      </w:r>
    </w:p>
    <w:p w14:paraId="439557BC">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3.4.4</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其他可以不予退还投标保证金的情形</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w:t>
      </w:r>
    </w:p>
    <w:p w14:paraId="36EE58F8">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资格审查资料的特殊要求</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无</w:t>
      </w:r>
    </w:p>
    <w:p w14:paraId="73603C8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投标人</w:t>
      </w:r>
    </w:p>
    <w:p w14:paraId="53AFC345">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基本情况表</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本款修改为：</w:t>
      </w:r>
    </w:p>
    <w:p w14:paraId="331D6105">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3.5.1“投标人基本情况表”应附企业法人营业执照和组织机构代码证（按照“三证合一”或“五证合一”登记制度进行登记的，可仅提供营业执照，下同）、监理资质证书、质量检测机构资质证书、基本账户开户证明材料的复印件，投标人在国家企业信用信息公示系统中基础信息（体现股东及出资详细信息）的网页截图复印件。</w:t>
      </w:r>
    </w:p>
    <w:p w14:paraId="7468F05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企业法人营业执照和组织机构代码证、资质证书、基本账户开户证明材料的复印件应提供全本（证书封面、封底、空白页除外），应包括投标人名称、投标人其他相关信息、颁发机构名称、投标人信息变更情况等关键页在内，并逐页加盖投标人单位章。</w:t>
      </w:r>
    </w:p>
    <w:p w14:paraId="0954C01C">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3.5.2</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近年完成的类似项目情况的要求</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20</w:t>
      </w:r>
      <w:bookmarkStart w:id="1" w:name="_GoBack"/>
      <w:bookmarkEnd w:id="1"/>
      <w:r>
        <w:rPr>
          <w:rFonts w:hint="eastAsia" w:asciiTheme="minorEastAsia" w:hAnsiTheme="minorEastAsia" w:eastAsiaTheme="minorEastAsia" w:cstheme="minorEastAsia"/>
          <w:sz w:val="22"/>
          <w:szCs w:val="22"/>
          <w:lang w:val="en-US" w:eastAsia="zh-CN"/>
        </w:rPr>
        <w:t>20年1月1日至投标截止时间（两阶段验收工程以交工时间为准，一阶段验收工程以交工或竣工时间为准）</w:t>
      </w:r>
    </w:p>
    <w:p w14:paraId="014866D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3.5.3</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投标人的</w:t>
      </w:r>
    </w:p>
    <w:p w14:paraId="54F47EF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信誉情况</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本款修改为：</w:t>
      </w:r>
    </w:p>
    <w:p w14:paraId="5A43B9BC">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3.5.3 “投标人的信誉情况表”应附投标人在国家企业信用信息公示系统中是否被列入严重违法失信企业名单、在“信用中国”网站中是否被列入失信被执行人名单的网页截图复印件。投标人或其法定代表人、拟委任的总监理工程师在近三年内无行贿犯罪行为承诺函，格式自拟，需加盖投标人单位章。</w:t>
      </w:r>
    </w:p>
    <w:p w14:paraId="13BEEAD9">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3.5.4</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拟委任的总监理工程师资历表</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第一自然段修改为：“拟委任的总监理工程师资历表”应附总监理工程师的以下资料：</w:t>
      </w:r>
    </w:p>
    <w:p w14:paraId="54B88FA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（1）身份证、职称资格证书（如职称证书上无职称专业，则应提供毕业证书复印件）以及资格审查条件所要求的其他相关证书（如公路工程监理工程师证书等）的复印件；</w:t>
      </w:r>
    </w:p>
    <w:p w14:paraId="692208E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（2）总监理工程师在投标人所属社保系统打印的本单位人员缴费明细复印件；</w:t>
      </w:r>
    </w:p>
    <w:p w14:paraId="41A4675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第三自然段修改为：如总监理工程师目前仍在其他项目上任职，则投标人应提供承诺上述人员能够从该项目撤离的书面材料，并加盖投标人单位章。</w:t>
      </w:r>
    </w:p>
    <w:p w14:paraId="74819A94">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是否允许递交备选投标方案</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不允许</w:t>
      </w:r>
    </w:p>
    <w:p w14:paraId="2911BB9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3.7.4</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投标文件副本份数及其他要求</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投标阶段仅提供电子投标文件，如中标再提供纸制投标文件正本1份，副本4份；中标人提供的纸质投标文件需与投标时提供的电子投标文件保持一致，如有不一致，以电子投标文件为准，且不得采用活页夹装订。</w:t>
      </w:r>
    </w:p>
    <w:p w14:paraId="50F8C5DC">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4.2.3</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延后投标截止时间</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4.2.3在特殊情况下，招标人如果决定延后投标截止时间，应在原定投标截止时间3天前，在电子交易系统以书面形式通知所有投标人延后投标截止时间。在此情况下，招标人和投标人的权利和义务相应延后至新的投标截止时间</w:t>
      </w:r>
    </w:p>
    <w:p w14:paraId="1C632C4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第一个信封</w:t>
      </w:r>
    </w:p>
    <w:p w14:paraId="34C0E74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开标时间和地点</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开标时间：同投标截止时间。</w:t>
      </w:r>
    </w:p>
    <w:p w14:paraId="7BE91BE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开标地点：吉林省公共资源交易中心四楼开标区（长春市人民大街9999号吉林省人民政府政务大厅四楼）</w:t>
      </w:r>
    </w:p>
    <w:p w14:paraId="6BB919F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第二个信封</w:t>
      </w:r>
    </w:p>
    <w:p w14:paraId="644A510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开标时间和地点</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开标时间：见招标公告。</w:t>
      </w:r>
    </w:p>
    <w:p w14:paraId="1937C8B5">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开标地点：吉林省公共资源交易中心四楼开标区（长春市人民大街9999号吉林省人民政府政务大厅四楼）</w:t>
      </w:r>
    </w:p>
    <w:p w14:paraId="29C6005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5.3.1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开标补救措施</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开标过程中因本章第5.3.2项、第5.3.3项所列原因，导致系统无法正常运行，将由“电子交易平台”技术人员采取补救措施。</w:t>
      </w:r>
    </w:p>
    <w:p w14:paraId="67EC7E5F">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6.1.1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评标委员会的组建</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评标委员会构成：7人，其中招标人代表2人，专家5人；</w:t>
      </w:r>
    </w:p>
    <w:p w14:paraId="46AEFB9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评标专家确定方式：依法从相应评标专家库中随机抽取。</w:t>
      </w:r>
    </w:p>
    <w:p w14:paraId="6C0A50AF">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根据《吉林省工程建设项目远程异地评标管理办法（试行）》吉政数联〔2024〕7号文件要求，本项目实行远程异地评标。</w:t>
      </w:r>
    </w:p>
    <w:p w14:paraId="1D20963A">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6.3.2</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评标委员会推荐中标候选人的人数</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1名</w:t>
      </w:r>
    </w:p>
    <w:p w14:paraId="6F806279">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中标候选人公示媒介及期限</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公示媒介：同招标公告发布媒介；</w:t>
      </w:r>
    </w:p>
    <w:p w14:paraId="6C52B41F">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公示期限：3日；</w:t>
      </w:r>
    </w:p>
    <w:p w14:paraId="07FBB47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公示的其他内容：无。</w:t>
      </w:r>
    </w:p>
    <w:p w14:paraId="6270C415">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7.4</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是否授权评标委员会确定中标人</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 xml:space="preserve">□是 </w:t>
      </w:r>
    </w:p>
    <w:p w14:paraId="5EC59BBA">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√否</w:t>
      </w:r>
    </w:p>
    <w:p w14:paraId="41525605">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7.5</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中标通知书和中标结果通知书发出的形式</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招标人以书面形式向中标人发出中标通知书，同时将中标结果公告发布到本章7.6款所列媒介的形式通知未中标的投标人。</w:t>
      </w:r>
    </w:p>
    <w:p w14:paraId="7D901088">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7.6</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中标结果公告</w:t>
      </w:r>
    </w:p>
    <w:p w14:paraId="7C18EDF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媒介及期限</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公示媒介：同招标公告发布媒介；</w:t>
      </w:r>
    </w:p>
    <w:p w14:paraId="1DEE515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公示期限：3日。</w:t>
      </w:r>
    </w:p>
    <w:p w14:paraId="688A876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7.7.1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履约保证金</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履约保证金形式：现金、支票、银行保函、担保机构保函。</w:t>
      </w:r>
    </w:p>
    <w:p w14:paraId="3CB44353">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履约保证金金额：5%的签约合同价。</w:t>
      </w:r>
    </w:p>
    <w:p w14:paraId="31ADA32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（1）采用现金、支票形式时，应由中标人的基本账户转入发包人账户。</w:t>
      </w:r>
    </w:p>
    <w:p w14:paraId="32EF9B8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（2）采用银行保函时，应按招标文件第四章“合同条款及格式”规定的履约保证金格式出具，应由地市级支行以上级别国有商业银行或全国性股份制商业银行开具，所需费用由中标人承担。</w:t>
      </w:r>
    </w:p>
    <w:p w14:paraId="0A612536">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（3）若采用担保机构保函时，出具保函的担保机构应具有相应的担保能力，所需费用由中标人承担。</w:t>
      </w:r>
    </w:p>
    <w:p w14:paraId="1913CD58">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8.5.1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监督部门</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监督部门：吉林省交通运输厅</w:t>
      </w:r>
    </w:p>
    <w:p w14:paraId="181613E9">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地　　址：长春市解放大路2518号交通大厦</w:t>
      </w:r>
    </w:p>
    <w:p w14:paraId="53AE305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电    话：0431-85097540</w:t>
      </w:r>
    </w:p>
    <w:p w14:paraId="218FF66F">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邮　　编：130021</w:t>
      </w:r>
    </w:p>
    <w:p w14:paraId="6BCA2FD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是否采用电子招标投标</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是，具体要求：</w:t>
      </w:r>
    </w:p>
    <w:p w14:paraId="4E059B1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本项目实施网上远程开标，投标人通过一体化平台系统进行远程投标文件解密。开标前，投标人应在准备解密的电脑端提前安装好CA驱动并且能正常登录系统。开标时在代理机构工作人员公布投标人名单后，按顺序进行解密，由投标人选择对应的项目，进入“开标远程解密”菜单，点击远程解密并输入CA密码，成功解密后状态会显示“已解密”。投标人未在规定的时间内完成解密的视为无效投标。投标人由于数字证书遗失、损坏、更换、续期等自身原因情况导致投标文件无法解密，由投标人自行承担责任。</w:t>
      </w:r>
    </w:p>
    <w:p w14:paraId="6D4D4F3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需要补充的其他内容</w:t>
      </w:r>
    </w:p>
    <w:p w14:paraId="68C42C8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10.2</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词语定义</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（1）本文件中所称的“以上”、“以下”、“以内”，包括本数；所称的“以外”，不包括本数。</w:t>
      </w:r>
    </w:p>
    <w:p w14:paraId="6709FED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除有特殊说明外，本文件中所称的“近3年”或“近5年”，是指自投标截止时间所在年度起逆推3年或5年。如：投标截止时间所在年度为2025年，“近3年”的年限从2022年1月1日算起,“近5年”的年限从2020年1月1日算起。</w:t>
      </w:r>
    </w:p>
    <w:p w14:paraId="3DB37E45">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10.3</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投标文件编制</w:t>
      </w:r>
    </w:p>
    <w:p w14:paraId="331B9BD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特殊说明</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1）本项目招标文件以交通运输部编制的《公路工程标准施工监理招标文件》（2018年版，交通运输部公告2018年第25号）（以下简称《公路工程标准施工监理招标文件》）为基础，结合本项目的特点和管理需要编制而成，两者应结合使用。</w:t>
      </w:r>
    </w:p>
    <w:p w14:paraId="7D76A795">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电子交易平台”中固定格式的“投标函”用于在开标时系统提取投标人填报的内容作为开标记录，由于其内容无法修改，所以格式第1条中的“施工招标”应按“施工监理招标”理解，格式第3条中的“工期”应按“监理服务期限”理解。投标人填报的内容应与招标文件“第七章投标文件格式”中要求的投标函上填报的内容保持一致。</w:t>
      </w:r>
    </w:p>
    <w:p w14:paraId="11632AC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10.4</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招标代理服务费</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用于本项目的招标代理服务费由招标人通过中标人支付，投标人应将此费用计入投标报价内，但不得单独报价。</w:t>
      </w:r>
    </w:p>
    <w:p w14:paraId="51177915">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w:t>
      </w:r>
    </w:p>
    <w:p w14:paraId="00479D40">
      <w:pPr>
        <w:rPr>
          <w:rFonts w:hint="eastAsia" w:asciiTheme="minorEastAsia" w:hAnsiTheme="minorEastAsia" w:eastAsiaTheme="minorEastAsia" w:cstheme="minorEastAsia"/>
          <w:sz w:val="22"/>
          <w:szCs w:val="22"/>
          <w:lang w:val="en-US" w:eastAsia="zh-CN"/>
        </w:rPr>
      </w:pPr>
    </w:p>
    <w:p w14:paraId="41D890E4">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附录1   资格审查条件（资质最低条件）</w:t>
      </w:r>
    </w:p>
    <w:p w14:paraId="4BDD943F">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监理企业资质等级要求</w:t>
      </w:r>
    </w:p>
    <w:p w14:paraId="72FAB2EA">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投标人须同时满足以下资质最低要求：</w:t>
      </w:r>
    </w:p>
    <w:p w14:paraId="5B803516">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（1）交通运输主管部门颁发的公路工程乙级监理资质；</w:t>
      </w:r>
    </w:p>
    <w:p w14:paraId="73A30233">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（2）具备(或其下属非独立法人检测机构具备)交通运输主管部门颁发的公路工程乙级《公路水运工程质量检测机构资质证书》。</w:t>
      </w:r>
    </w:p>
    <w:p w14:paraId="02941C0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附录2   资格审查条件（业绩最低要求）</w:t>
      </w:r>
    </w:p>
    <w:p w14:paraId="14777E19">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业 绩 要 求</w:t>
      </w:r>
    </w:p>
    <w:p w14:paraId="2F914A28">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无</w:t>
      </w:r>
    </w:p>
    <w:p w14:paraId="5F571A9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附录3   资格审查条件（信誉最低要求）</w:t>
      </w:r>
    </w:p>
    <w:p w14:paraId="53350EE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信 誉 要 求</w:t>
      </w:r>
    </w:p>
    <w:p w14:paraId="4C8E7078">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无</w:t>
      </w:r>
    </w:p>
    <w:p w14:paraId="3CECF96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附录4   资格审查条件（总监理工程师最低要求）</w:t>
      </w:r>
    </w:p>
    <w:p w14:paraId="6AB9754D">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人员</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数量</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资格、在岗要求</w:t>
      </w:r>
    </w:p>
    <w:p w14:paraId="3180AAEB">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总监理</w:t>
      </w:r>
    </w:p>
    <w:p w14:paraId="5F4A9629">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工程师</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val="en-US" w:eastAsia="zh-CN"/>
        </w:rPr>
        <w:t>1、投标人自有人员（联合体投标时总监理工程师必须是牵头人单位自有人员）；</w:t>
      </w:r>
    </w:p>
    <w:p w14:paraId="43F49F53">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2、公路工程相关专业高级工程师职称；</w:t>
      </w:r>
    </w:p>
    <w:p w14:paraId="38C1EC19">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3、具备公路工程监理工程师资格；</w:t>
      </w:r>
    </w:p>
    <w:p w14:paraId="3310312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4、无在岗项目（指目前未在其他项目上任职，或虽在其他项目上任职但本项目中标后能够从该项目撤离）。</w:t>
      </w:r>
    </w:p>
    <w:p w14:paraId="5FFA6CF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w:t>
      </w:r>
    </w:p>
    <w:p w14:paraId="4221EBB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投标人自有人员”指现由投标人为其申报社会保险登记，并为其缴纳社会保险费的人员。如果投标人属事业法人单位，则由投标人的上级行政主管部门出具拟委任的总监理工程师是投标人单位职工的有效书面证明材料。</w:t>
      </w:r>
    </w:p>
    <w:p w14:paraId="2BE9333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②公路工程相关专业职称包括公路工程、桥梁工程、公路与桥梁工程、交通土建、隧道（地下结构）工程、交通工程等专业职称。如职称证中无专业，则在投标文件中必须附毕业证书，且毕业证上的专业为公路工程、桥梁工程、公路与桥梁工程、交通土建、隧道（地下结构）工程、交通工程等专业。</w:t>
      </w:r>
    </w:p>
    <w:p w14:paraId="646E46DD">
      <w:pPr>
        <w:rPr>
          <w:rFonts w:ascii="黑体" w:hAnsi="黑体" w:eastAsia="黑体"/>
          <w:sz w:val="28"/>
          <w:szCs w:val="28"/>
        </w:rPr>
      </w:pPr>
      <w:bookmarkStart w:id="0" w:name="_Toc234382663"/>
      <w:r>
        <w:rPr>
          <w:rFonts w:ascii="黑体" w:hAnsi="黑体" w:eastAsia="黑体"/>
          <w:sz w:val="28"/>
          <w:szCs w:val="28"/>
        </w:rPr>
        <w:br w:type="page"/>
      </w:r>
    </w:p>
    <w:p w14:paraId="39B5812D">
      <w:pPr>
        <w:spacing w:line="360" w:lineRule="auto"/>
        <w:rPr>
          <w:rFonts w:ascii="黑体" w:hAnsi="黑体" w:eastAsia="黑体"/>
          <w:sz w:val="28"/>
          <w:szCs w:val="28"/>
        </w:rPr>
      </w:pPr>
      <w:r>
        <w:rPr>
          <w:rFonts w:ascii="黑体" w:hAnsi="黑体" w:eastAsia="黑体"/>
          <w:sz w:val="28"/>
          <w:szCs w:val="28"/>
        </w:rPr>
        <w:t>评标办法前附表</w:t>
      </w:r>
      <w:bookmarkEnd w:id="0"/>
      <w:r>
        <w:rPr>
          <w:rFonts w:ascii="黑体" w:hAnsi="黑体" w:eastAsia="黑体"/>
          <w:sz w:val="28"/>
          <w:szCs w:val="28"/>
          <w:vertAlign w:val="superscript"/>
        </w:rPr>
        <w:footnoteReference w:id="0"/>
      </w:r>
    </w:p>
    <w:tbl>
      <w:tblPr>
        <w:tblStyle w:val="15"/>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674"/>
        <w:gridCol w:w="1176"/>
        <w:gridCol w:w="6476"/>
      </w:tblGrid>
      <w:tr w14:paraId="6ECABE3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cantSplit/>
          <w:trHeight w:val="385" w:hRule="exact"/>
          <w:tblHeader/>
          <w:jc w:val="center"/>
        </w:trPr>
        <w:tc>
          <w:tcPr>
            <w:tcW w:w="1111" w:type="pct"/>
            <w:gridSpan w:val="2"/>
            <w:noWrap w:val="0"/>
            <w:vAlign w:val="center"/>
          </w:tcPr>
          <w:p w14:paraId="51AC38EA">
            <w:pPr>
              <w:jc w:val="center"/>
              <w:rPr>
                <w:rFonts w:ascii="宋体" w:hAnsi="宋体"/>
                <w:b/>
                <w:szCs w:val="21"/>
              </w:rPr>
            </w:pPr>
            <w:r>
              <w:rPr>
                <w:rFonts w:ascii="宋体" w:hAnsi="宋体"/>
                <w:b/>
                <w:szCs w:val="21"/>
              </w:rPr>
              <w:t>条款号</w:t>
            </w:r>
          </w:p>
        </w:tc>
        <w:tc>
          <w:tcPr>
            <w:tcW w:w="3889" w:type="pct"/>
            <w:noWrap w:val="0"/>
            <w:vAlign w:val="center"/>
          </w:tcPr>
          <w:p w14:paraId="008D5428">
            <w:pPr>
              <w:jc w:val="center"/>
              <w:rPr>
                <w:rFonts w:ascii="宋体" w:hAnsi="宋体"/>
                <w:b/>
                <w:szCs w:val="21"/>
              </w:rPr>
            </w:pPr>
            <w:r>
              <w:rPr>
                <w:rFonts w:ascii="宋体" w:hAnsi="宋体"/>
                <w:b/>
                <w:szCs w:val="21"/>
              </w:rPr>
              <w:t>评审因素</w:t>
            </w:r>
            <w:r>
              <w:rPr>
                <w:rFonts w:hint="eastAsia" w:ascii="宋体" w:hAnsi="宋体"/>
                <w:b/>
                <w:szCs w:val="21"/>
              </w:rPr>
              <w:t>与评审标准</w:t>
            </w:r>
          </w:p>
        </w:tc>
      </w:tr>
      <w:tr w14:paraId="215B40B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cantSplit/>
          <w:trHeight w:val="1907" w:hRule="atLeast"/>
          <w:jc w:val="center"/>
        </w:trPr>
        <w:tc>
          <w:tcPr>
            <w:tcW w:w="405" w:type="pct"/>
            <w:noWrap w:val="0"/>
            <w:vAlign w:val="center"/>
          </w:tcPr>
          <w:p w14:paraId="19EA0CE8">
            <w:pPr>
              <w:spacing w:line="320" w:lineRule="exact"/>
              <w:jc w:val="center"/>
              <w:rPr>
                <w:rFonts w:ascii="宋体" w:hAnsi="宋体"/>
                <w:szCs w:val="21"/>
              </w:rPr>
            </w:pPr>
            <w:r>
              <w:rPr>
                <w:rFonts w:hint="eastAsia" w:ascii="宋体" w:hAnsi="宋体"/>
                <w:szCs w:val="21"/>
              </w:rPr>
              <w:t>1</w:t>
            </w:r>
          </w:p>
        </w:tc>
        <w:tc>
          <w:tcPr>
            <w:tcW w:w="706" w:type="pct"/>
            <w:noWrap w:val="0"/>
            <w:vAlign w:val="center"/>
          </w:tcPr>
          <w:p w14:paraId="7C3E74AF">
            <w:pPr>
              <w:snapToGrid w:val="0"/>
              <w:spacing w:line="320" w:lineRule="exact"/>
              <w:ind w:left="113" w:right="113"/>
              <w:contextualSpacing/>
              <w:jc w:val="center"/>
              <w:rPr>
                <w:rFonts w:ascii="宋体" w:hAnsi="宋体"/>
                <w:szCs w:val="21"/>
              </w:rPr>
            </w:pPr>
            <w:r>
              <w:rPr>
                <w:rFonts w:hint="eastAsia" w:ascii="宋体" w:hAnsi="宋体"/>
                <w:szCs w:val="21"/>
              </w:rPr>
              <w:t>评标方法</w:t>
            </w:r>
          </w:p>
        </w:tc>
        <w:tc>
          <w:tcPr>
            <w:tcW w:w="3889" w:type="pct"/>
            <w:noWrap w:val="0"/>
            <w:vAlign w:val="center"/>
          </w:tcPr>
          <w:p w14:paraId="63FB392B">
            <w:pPr>
              <w:spacing w:line="276" w:lineRule="auto"/>
              <w:ind w:firstLine="420" w:firstLineChars="200"/>
              <w:rPr>
                <w:rFonts w:ascii="宋体" w:hAnsi="宋体"/>
                <w:szCs w:val="21"/>
              </w:rPr>
            </w:pPr>
            <w:r>
              <w:t>综合评分相等时，评标委员会依次按照以下优先顺序推荐中标候选人：</w:t>
            </w:r>
          </w:p>
          <w:p w14:paraId="3B32823D">
            <w:pPr>
              <w:tabs>
                <w:tab w:val="left" w:pos="1070"/>
              </w:tabs>
              <w:spacing w:line="276" w:lineRule="auto"/>
              <w:ind w:firstLine="420" w:firstLineChars="200"/>
              <w:rPr>
                <w:rFonts w:ascii="宋体" w:hAnsi="宋体"/>
                <w:szCs w:val="21"/>
              </w:rPr>
            </w:pPr>
            <w:r>
              <w:rPr>
                <w:rFonts w:hint="eastAsia" w:ascii="宋体" w:hAnsi="宋体"/>
                <w:szCs w:val="21"/>
              </w:rPr>
              <w:t>（1）</w:t>
            </w:r>
            <w:r>
              <w:rPr>
                <w:rFonts w:hint="eastAsia"/>
              </w:rPr>
              <w:t>评标价低的投标人优先；</w:t>
            </w:r>
          </w:p>
          <w:p w14:paraId="71959813">
            <w:pPr>
              <w:tabs>
                <w:tab w:val="left" w:pos="1078"/>
              </w:tabs>
              <w:spacing w:line="276" w:lineRule="auto"/>
              <w:ind w:left="420"/>
            </w:pPr>
            <w:r>
              <w:rPr>
                <w:rFonts w:hint="eastAsia" w:ascii="宋体" w:hAnsi="宋体"/>
                <w:szCs w:val="21"/>
              </w:rPr>
              <w:t>（2）信用评价得分较高的投标人优先；</w:t>
            </w:r>
          </w:p>
          <w:p w14:paraId="7D9EB331">
            <w:pPr>
              <w:tabs>
                <w:tab w:val="left" w:pos="1078"/>
              </w:tabs>
              <w:spacing w:line="276" w:lineRule="auto"/>
              <w:ind w:left="420"/>
            </w:pPr>
            <w:r>
              <w:rPr>
                <w:rFonts w:hint="eastAsia" w:ascii="宋体" w:hAnsi="宋体"/>
                <w:szCs w:val="21"/>
              </w:rPr>
              <w:t>（3）</w:t>
            </w:r>
            <w:r>
              <w:rPr>
                <w:rFonts w:hint="eastAsia"/>
              </w:rPr>
              <w:t>人员得分较高的投标人优先；</w:t>
            </w:r>
          </w:p>
          <w:p w14:paraId="0FD1B28A">
            <w:pPr>
              <w:spacing w:line="320" w:lineRule="exact"/>
              <w:ind w:left="113" w:leftChars="54" w:right="113" w:firstLine="315" w:firstLineChars="150"/>
              <w:rPr>
                <w:rFonts w:hint="eastAsia" w:ascii="楷体" w:hAnsi="楷体" w:eastAsia="楷体"/>
                <w:szCs w:val="21"/>
              </w:rPr>
            </w:pPr>
            <w:r>
              <w:rPr>
                <w:rFonts w:hint="eastAsia" w:ascii="宋体" w:hAnsi="宋体"/>
                <w:szCs w:val="21"/>
              </w:rPr>
              <w:t>（4）评标委员会投票表决。</w:t>
            </w:r>
          </w:p>
        </w:tc>
      </w:tr>
      <w:tr w14:paraId="036E37D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cantSplit/>
          <w:trHeight w:val="169" w:hRule="atLeast"/>
          <w:jc w:val="center"/>
        </w:trPr>
        <w:tc>
          <w:tcPr>
            <w:tcW w:w="405" w:type="pct"/>
            <w:noWrap w:val="0"/>
            <w:vAlign w:val="center"/>
          </w:tcPr>
          <w:p w14:paraId="1F5AF588">
            <w:pPr>
              <w:spacing w:line="320" w:lineRule="exact"/>
              <w:jc w:val="center"/>
              <w:rPr>
                <w:rFonts w:ascii="宋体" w:hAnsi="宋体"/>
                <w:szCs w:val="21"/>
              </w:rPr>
            </w:pPr>
            <w:r>
              <w:rPr>
                <w:rFonts w:ascii="宋体" w:hAnsi="宋体"/>
                <w:szCs w:val="21"/>
              </w:rPr>
              <w:t>2.1.1</w:t>
            </w:r>
          </w:p>
          <w:p w14:paraId="08A230A4">
            <w:pPr>
              <w:spacing w:line="320" w:lineRule="exact"/>
              <w:jc w:val="center"/>
              <w:rPr>
                <w:rFonts w:ascii="宋体" w:hAnsi="宋体"/>
                <w:szCs w:val="21"/>
              </w:rPr>
            </w:pPr>
            <w:r>
              <w:rPr>
                <w:rFonts w:hint="eastAsia" w:ascii="宋体" w:hAnsi="宋体"/>
                <w:szCs w:val="21"/>
              </w:rPr>
              <w:t>2.1.3</w:t>
            </w:r>
          </w:p>
        </w:tc>
        <w:tc>
          <w:tcPr>
            <w:tcW w:w="706" w:type="pct"/>
            <w:noWrap w:val="0"/>
            <w:vAlign w:val="center"/>
          </w:tcPr>
          <w:p w14:paraId="16DE0817">
            <w:pPr>
              <w:snapToGrid w:val="0"/>
              <w:spacing w:line="320" w:lineRule="exact"/>
              <w:ind w:left="113" w:right="113"/>
              <w:contextualSpacing/>
              <w:jc w:val="center"/>
              <w:rPr>
                <w:rFonts w:ascii="宋体" w:hAnsi="宋体"/>
                <w:szCs w:val="21"/>
              </w:rPr>
            </w:pPr>
            <w:r>
              <w:rPr>
                <w:rFonts w:hint="eastAsia" w:ascii="宋体" w:hAnsi="宋体"/>
                <w:szCs w:val="21"/>
              </w:rPr>
              <w:t>形式评审与响应性评审标准</w:t>
            </w:r>
          </w:p>
        </w:tc>
        <w:tc>
          <w:tcPr>
            <w:tcW w:w="3889" w:type="pct"/>
            <w:noWrap w:val="0"/>
            <w:vAlign w:val="center"/>
          </w:tcPr>
          <w:p w14:paraId="22703D4F">
            <w:pPr>
              <w:spacing w:line="320" w:lineRule="exact"/>
              <w:ind w:left="113" w:right="113" w:firstLine="211" w:firstLineChars="100"/>
              <w:rPr>
                <w:rFonts w:ascii="宋体" w:hAnsi="宋体"/>
                <w:b/>
                <w:szCs w:val="21"/>
              </w:rPr>
            </w:pPr>
            <w:r>
              <w:rPr>
                <w:rFonts w:hint="eastAsia" w:ascii="宋体" w:hAnsi="宋体"/>
                <w:b/>
                <w:szCs w:val="21"/>
              </w:rPr>
              <w:t>第一个信封（商务及技术文件）评审标准：</w:t>
            </w:r>
          </w:p>
          <w:p w14:paraId="2ABA8962">
            <w:pPr>
              <w:spacing w:line="320" w:lineRule="exact"/>
              <w:ind w:left="113" w:right="113" w:firstLine="210" w:firstLineChars="100"/>
              <w:rPr>
                <w:rFonts w:hint="eastAsia" w:ascii="宋体" w:hAnsi="宋体"/>
                <w:szCs w:val="21"/>
              </w:rPr>
            </w:pPr>
            <w:r>
              <w:rPr>
                <w:rFonts w:hint="eastAsia" w:ascii="宋体" w:hAnsi="宋体"/>
                <w:szCs w:val="21"/>
              </w:rPr>
              <w:t>（1）投标文件按照招标文件规定的格式、内容填写，字迹清晰可辨：</w:t>
            </w:r>
          </w:p>
          <w:p w14:paraId="52F753D5">
            <w:pPr>
              <w:spacing w:line="320" w:lineRule="exact"/>
              <w:ind w:left="113" w:right="113" w:firstLine="210" w:firstLineChars="100"/>
              <w:rPr>
                <w:rFonts w:ascii="宋体" w:hAnsi="宋体"/>
                <w:szCs w:val="21"/>
              </w:rPr>
            </w:pPr>
            <w:r>
              <w:rPr>
                <w:rFonts w:hint="eastAsia" w:ascii="宋体" w:hAnsi="宋体"/>
                <w:szCs w:val="21"/>
              </w:rPr>
              <w:t>a.投标函按招标文件规定填报了项目名称、标段号、补遗书编号（如有）、监理服务期限、工程质量要求及安全目标；</w:t>
            </w:r>
          </w:p>
          <w:p w14:paraId="37ECA341">
            <w:pPr>
              <w:spacing w:line="320" w:lineRule="exact"/>
              <w:ind w:left="113" w:right="113" w:firstLine="210" w:firstLineChars="100"/>
              <w:rPr>
                <w:rFonts w:ascii="宋体" w:hAnsi="宋体"/>
                <w:szCs w:val="21"/>
              </w:rPr>
            </w:pPr>
            <w:r>
              <w:rPr>
                <w:rFonts w:hint="eastAsia" w:ascii="宋体" w:hAnsi="宋体"/>
                <w:szCs w:val="21"/>
              </w:rPr>
              <w:t>b.投标文件组成齐全完整，内容均按规定填写。</w:t>
            </w:r>
          </w:p>
          <w:p w14:paraId="4B471EBF">
            <w:pPr>
              <w:spacing w:line="320" w:lineRule="exact"/>
              <w:ind w:left="113" w:right="113" w:firstLine="210" w:firstLineChars="100"/>
              <w:rPr>
                <w:rFonts w:ascii="宋体" w:hAnsi="宋体"/>
                <w:szCs w:val="21"/>
              </w:rPr>
            </w:pPr>
            <w:r>
              <w:rPr>
                <w:rFonts w:hint="eastAsia" w:ascii="宋体" w:hAnsi="宋体"/>
                <w:szCs w:val="21"/>
              </w:rPr>
              <w:t>（2）投标文件上法定代表人或其委托代理人的签字、投标人的单位章盖章齐全，符合招标文件规定。</w:t>
            </w:r>
          </w:p>
          <w:p w14:paraId="5CDA8E29">
            <w:pPr>
              <w:spacing w:line="320" w:lineRule="exact"/>
              <w:ind w:left="113" w:right="113" w:firstLine="210" w:firstLineChars="100"/>
              <w:rPr>
                <w:rFonts w:ascii="宋体" w:hAnsi="宋体"/>
                <w:szCs w:val="21"/>
              </w:rPr>
            </w:pPr>
            <w:r>
              <w:rPr>
                <w:rFonts w:hint="eastAsia" w:ascii="宋体" w:hAnsi="宋体"/>
                <w:szCs w:val="21"/>
              </w:rPr>
              <w:t>（3）投标人按照招标文件的规定提供了投标保证金：</w:t>
            </w:r>
          </w:p>
          <w:p w14:paraId="5C64D51E">
            <w:pPr>
              <w:spacing w:line="320" w:lineRule="exact"/>
              <w:ind w:left="113" w:right="113" w:firstLine="210" w:firstLineChars="100"/>
              <w:rPr>
                <w:rFonts w:hint="eastAsia" w:ascii="宋体" w:hAnsi="宋体"/>
                <w:szCs w:val="21"/>
              </w:rPr>
            </w:pPr>
            <w:r>
              <w:rPr>
                <w:rFonts w:hint="eastAsia" w:ascii="宋体" w:hAnsi="宋体"/>
                <w:szCs w:val="21"/>
              </w:rPr>
              <w:t>a.投标保证金金额符合招标文件规定的金额，且投标保证金有效期不少于投标有效期；</w:t>
            </w:r>
          </w:p>
          <w:p w14:paraId="7C73557E">
            <w:pPr>
              <w:spacing w:line="320" w:lineRule="exact"/>
              <w:ind w:left="113" w:right="113" w:firstLine="210" w:firstLineChars="100"/>
              <w:rPr>
                <w:rFonts w:hint="eastAsia" w:ascii="宋体" w:hAnsi="宋体"/>
                <w:szCs w:val="21"/>
              </w:rPr>
            </w:pPr>
            <w:r>
              <w:rPr>
                <w:rFonts w:hint="eastAsia" w:ascii="宋体" w:hAnsi="宋体"/>
                <w:szCs w:val="21"/>
              </w:rPr>
              <w:t>b.若投标保证金采用现金或支票形式提交，投标人应在递交投标文件截止时间之前，将投标保证金由投标人的基本账户转入招标人指定账户；</w:t>
            </w:r>
          </w:p>
          <w:p w14:paraId="49B9B000">
            <w:pPr>
              <w:spacing w:line="320" w:lineRule="exact"/>
              <w:ind w:left="113" w:right="113" w:firstLine="210" w:firstLineChars="100"/>
              <w:rPr>
                <w:rFonts w:ascii="宋体" w:hAnsi="宋体"/>
                <w:szCs w:val="21"/>
              </w:rPr>
            </w:pPr>
            <w:r>
              <w:rPr>
                <w:rFonts w:hint="eastAsia" w:ascii="宋体" w:hAnsi="宋体"/>
                <w:szCs w:val="21"/>
              </w:rPr>
              <w:t>c.</w:t>
            </w:r>
            <w:r>
              <w:rPr>
                <w:rFonts w:hint="eastAsia"/>
              </w:rPr>
              <w:t xml:space="preserve"> </w:t>
            </w:r>
            <w:r>
              <w:rPr>
                <w:rFonts w:ascii="宋体" w:hAnsi="宋体"/>
                <w:szCs w:val="21"/>
                <w:lang w:bidi="zh-TW"/>
              </w:rPr>
              <w:t>若投标保证金采用保函形式提交，</w:t>
            </w:r>
            <w:r>
              <w:rPr>
                <w:rFonts w:hint="eastAsia" w:ascii="宋体" w:hAnsi="宋体"/>
                <w:bCs/>
              </w:rPr>
              <w:t>应满足一体化平台相关要求</w:t>
            </w:r>
            <w:r>
              <w:rPr>
                <w:rFonts w:hint="eastAsia" w:ascii="宋体" w:hAnsi="宋体"/>
                <w:bCs/>
                <w:lang w:val="zh-CN"/>
              </w:rPr>
              <w:t>。</w:t>
            </w:r>
          </w:p>
          <w:p w14:paraId="23EB54AD">
            <w:pPr>
              <w:tabs>
                <w:tab w:val="left" w:pos="1168"/>
              </w:tabs>
              <w:spacing w:line="276" w:lineRule="auto"/>
              <w:ind w:firstLine="420" w:firstLineChars="200"/>
              <w:rPr>
                <w:rFonts w:ascii="宋体" w:hAnsi="宋体"/>
                <w:szCs w:val="21"/>
                <w:lang w:bidi="zh-TW"/>
              </w:rPr>
            </w:pPr>
            <w:r>
              <w:rPr>
                <w:rFonts w:hint="eastAsia" w:ascii="宋体" w:hAnsi="宋体"/>
                <w:szCs w:val="21"/>
                <w:lang w:bidi="zh-TW"/>
              </w:rPr>
              <w:t>（4）</w:t>
            </w:r>
            <w:r>
              <w:rPr>
                <w:rFonts w:ascii="宋体" w:hAnsi="宋体"/>
                <w:szCs w:val="21"/>
                <w:lang w:bidi="zh-TW"/>
              </w:rPr>
              <w:t>投标人法定代表人授权委托代理人签署投标文件的，须提交授权委托书，且授权人和被授权人均在授权委托书上签名。</w:t>
            </w:r>
          </w:p>
          <w:p w14:paraId="7191D316">
            <w:pPr>
              <w:tabs>
                <w:tab w:val="left" w:pos="1168"/>
              </w:tabs>
              <w:spacing w:line="276" w:lineRule="auto"/>
              <w:ind w:firstLine="420" w:firstLineChars="200"/>
              <w:rPr>
                <w:rFonts w:ascii="宋体" w:hAnsi="宋体"/>
                <w:szCs w:val="21"/>
                <w:lang w:bidi="zh-TW"/>
              </w:rPr>
            </w:pPr>
            <w:r>
              <w:rPr>
                <w:rFonts w:hint="eastAsia" w:ascii="宋体" w:hAnsi="宋体"/>
                <w:szCs w:val="21"/>
                <w:lang w:bidi="zh-TW"/>
              </w:rPr>
              <w:t>（5）</w:t>
            </w:r>
            <w:r>
              <w:rPr>
                <w:rFonts w:ascii="宋体" w:hAnsi="宋体"/>
                <w:szCs w:val="21"/>
                <w:lang w:bidi="zh-TW"/>
              </w:rPr>
              <w:t>投标人法定代表人亲自签署投标文件的，提供了法定代表人身份证明，且法定代表人在法定代表人身份证明上签名。</w:t>
            </w:r>
          </w:p>
        </w:tc>
      </w:tr>
      <w:tr w14:paraId="39060EA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cantSplit/>
          <w:trHeight w:val="7958" w:hRule="atLeast"/>
          <w:jc w:val="center"/>
        </w:trPr>
        <w:tc>
          <w:tcPr>
            <w:tcW w:w="405" w:type="pct"/>
            <w:noWrap w:val="0"/>
            <w:vAlign w:val="center"/>
          </w:tcPr>
          <w:p w14:paraId="302E15DF">
            <w:pPr>
              <w:spacing w:line="320" w:lineRule="exact"/>
              <w:jc w:val="center"/>
              <w:rPr>
                <w:rFonts w:ascii="宋体" w:hAnsi="宋体"/>
                <w:szCs w:val="21"/>
              </w:rPr>
            </w:pPr>
            <w:r>
              <w:rPr>
                <w:rFonts w:ascii="宋体" w:hAnsi="宋体"/>
                <w:szCs w:val="21"/>
              </w:rPr>
              <w:t>2.1.1</w:t>
            </w:r>
          </w:p>
          <w:p w14:paraId="6E33F8BA">
            <w:pPr>
              <w:spacing w:line="320" w:lineRule="exact"/>
              <w:jc w:val="center"/>
              <w:rPr>
                <w:rFonts w:ascii="宋体" w:hAnsi="宋体"/>
                <w:szCs w:val="21"/>
              </w:rPr>
            </w:pPr>
            <w:r>
              <w:rPr>
                <w:rFonts w:hint="eastAsia" w:ascii="宋体" w:hAnsi="宋体"/>
                <w:szCs w:val="21"/>
              </w:rPr>
              <w:t>2.1.3</w:t>
            </w:r>
          </w:p>
        </w:tc>
        <w:tc>
          <w:tcPr>
            <w:tcW w:w="706" w:type="pct"/>
            <w:noWrap w:val="0"/>
            <w:vAlign w:val="center"/>
          </w:tcPr>
          <w:p w14:paraId="59C0AB3A">
            <w:pPr>
              <w:snapToGrid w:val="0"/>
              <w:spacing w:line="320" w:lineRule="exact"/>
              <w:ind w:left="113" w:right="113"/>
              <w:contextualSpacing/>
              <w:jc w:val="center"/>
              <w:rPr>
                <w:rFonts w:ascii="宋体" w:hAnsi="宋体"/>
                <w:szCs w:val="21"/>
              </w:rPr>
            </w:pPr>
            <w:r>
              <w:rPr>
                <w:rFonts w:hint="eastAsia" w:ascii="宋体" w:hAnsi="宋体"/>
                <w:szCs w:val="21"/>
              </w:rPr>
              <w:t>形式评审与响应性评审标准</w:t>
            </w:r>
          </w:p>
        </w:tc>
        <w:tc>
          <w:tcPr>
            <w:tcW w:w="3889" w:type="pct"/>
            <w:noWrap w:val="0"/>
            <w:vAlign w:val="top"/>
          </w:tcPr>
          <w:p w14:paraId="6ABAA7B2">
            <w:pPr>
              <w:spacing w:line="320" w:lineRule="exact"/>
              <w:ind w:left="113" w:right="113" w:firstLine="210" w:firstLineChars="100"/>
              <w:rPr>
                <w:rFonts w:hint="eastAsia"/>
                <w:szCs w:val="21"/>
              </w:rPr>
            </w:pPr>
            <w:r>
              <w:rPr>
                <w:rFonts w:hint="eastAsia" w:ascii="宋体" w:hAnsi="宋体"/>
                <w:szCs w:val="21"/>
              </w:rPr>
              <w:t>（6）</w:t>
            </w:r>
            <w:r>
              <w:rPr>
                <w:rFonts w:ascii="宋体" w:hAnsi="宋体"/>
                <w:szCs w:val="21"/>
                <w:lang w:bidi="zh-TW"/>
              </w:rPr>
              <w:t>投标人以联合体形式投标</w:t>
            </w:r>
            <w:r>
              <w:rPr>
                <w:rFonts w:hint="eastAsia" w:ascii="宋体" w:hAnsi="宋体"/>
                <w:szCs w:val="21"/>
                <w:lang w:bidi="zh-TW"/>
              </w:rPr>
              <w:t>时，按照招标文件提供的格式签订了联合体协议书，明确各方承担连带责任，并明确了联合体牵头人。</w:t>
            </w:r>
          </w:p>
          <w:p w14:paraId="79EF0A3F">
            <w:pPr>
              <w:spacing w:line="320" w:lineRule="exact"/>
              <w:ind w:left="113" w:right="113" w:firstLine="210" w:firstLineChars="100"/>
              <w:rPr>
                <w:rFonts w:ascii="宋体" w:hAnsi="宋体"/>
                <w:szCs w:val="21"/>
              </w:rPr>
            </w:pPr>
            <w:r>
              <w:rPr>
                <w:rFonts w:hint="eastAsia" w:ascii="宋体" w:hAnsi="宋体"/>
                <w:szCs w:val="21"/>
              </w:rPr>
              <w:t>（7）同一投标人在同一标段未提交两个以上不同的投标文件。</w:t>
            </w:r>
          </w:p>
          <w:p w14:paraId="44A2FE92">
            <w:pPr>
              <w:tabs>
                <w:tab w:val="left" w:pos="984"/>
                <w:tab w:val="left" w:pos="1168"/>
              </w:tabs>
              <w:spacing w:line="276" w:lineRule="auto"/>
              <w:ind w:firstLine="420" w:firstLineChars="200"/>
              <w:rPr>
                <w:rFonts w:ascii="宋体" w:hAnsi="宋体"/>
                <w:szCs w:val="21"/>
                <w:lang w:bidi="zh-TW"/>
              </w:rPr>
            </w:pPr>
            <w:r>
              <w:rPr>
                <w:rFonts w:hint="eastAsia" w:ascii="宋体" w:hAnsi="宋体"/>
                <w:szCs w:val="21"/>
                <w:lang w:bidi="zh-TW"/>
              </w:rPr>
              <w:t>（8）</w:t>
            </w:r>
            <w:r>
              <w:rPr>
                <w:rFonts w:ascii="宋体" w:hAnsi="宋体"/>
                <w:szCs w:val="21"/>
                <w:lang w:bidi="zh-TW"/>
              </w:rPr>
              <w:t>投标文件中未出现有关投标报价的内容。</w:t>
            </w:r>
          </w:p>
          <w:p w14:paraId="774C47F7">
            <w:pPr>
              <w:tabs>
                <w:tab w:val="left" w:pos="984"/>
                <w:tab w:val="left" w:pos="1168"/>
              </w:tabs>
              <w:spacing w:line="276" w:lineRule="auto"/>
              <w:ind w:firstLine="420" w:firstLineChars="200"/>
              <w:jc w:val="left"/>
              <w:rPr>
                <w:rFonts w:ascii="宋体" w:hAnsi="宋体"/>
                <w:szCs w:val="21"/>
                <w:lang w:bidi="zh-TW"/>
              </w:rPr>
            </w:pPr>
            <w:r>
              <w:rPr>
                <w:rFonts w:hint="eastAsia" w:ascii="宋体" w:hAnsi="宋体"/>
                <w:szCs w:val="21"/>
                <w:lang w:bidi="zh-TW"/>
              </w:rPr>
              <w:t>（9）</w:t>
            </w:r>
            <w:r>
              <w:rPr>
                <w:rFonts w:ascii="宋体" w:hAnsi="宋体"/>
                <w:szCs w:val="21"/>
                <w:lang w:bidi="zh-TW"/>
              </w:rPr>
              <w:t>投标文件载明的招标项目完成期限未超过招标文件规定的时限。</w:t>
            </w:r>
          </w:p>
          <w:p w14:paraId="5D93F618">
            <w:pPr>
              <w:tabs>
                <w:tab w:val="left" w:pos="1168"/>
                <w:tab w:val="left" w:pos="1310"/>
              </w:tabs>
              <w:spacing w:line="276" w:lineRule="auto"/>
              <w:ind w:firstLine="420" w:firstLineChars="200"/>
              <w:jc w:val="left"/>
              <w:rPr>
                <w:rFonts w:ascii="宋体" w:hAnsi="宋体"/>
                <w:szCs w:val="21"/>
                <w:lang w:bidi="zh-TW"/>
              </w:rPr>
            </w:pPr>
            <w:r>
              <w:rPr>
                <w:rFonts w:hint="eastAsia" w:ascii="宋体" w:hAnsi="宋体"/>
                <w:szCs w:val="21"/>
                <w:lang w:bidi="zh-TW"/>
              </w:rPr>
              <w:t>（10）</w:t>
            </w:r>
            <w:r>
              <w:rPr>
                <w:rFonts w:ascii="宋体" w:hAnsi="宋体"/>
                <w:szCs w:val="21"/>
                <w:lang w:bidi="zh-TW"/>
              </w:rPr>
              <w:t>投标文件对招标文件的实质性要求和条件作出响应。</w:t>
            </w:r>
          </w:p>
          <w:p w14:paraId="33DEF3CA">
            <w:pPr>
              <w:tabs>
                <w:tab w:val="left" w:pos="1168"/>
                <w:tab w:val="left" w:pos="1310"/>
              </w:tabs>
              <w:spacing w:line="276" w:lineRule="auto"/>
              <w:ind w:firstLine="420" w:firstLineChars="200"/>
              <w:jc w:val="left"/>
            </w:pPr>
            <w:r>
              <w:rPr>
                <w:rFonts w:hint="eastAsia" w:ascii="宋体" w:hAnsi="宋体"/>
                <w:szCs w:val="21"/>
                <w:lang w:bidi="zh-TW"/>
              </w:rPr>
              <w:t>（11）权</w:t>
            </w:r>
            <w:r>
              <w:t>利义务符合招标文件规定：</w:t>
            </w:r>
          </w:p>
          <w:p w14:paraId="62063DCE">
            <w:pPr>
              <w:spacing w:line="276" w:lineRule="auto"/>
              <w:ind w:right="113" w:firstLine="420" w:firstLineChars="200"/>
              <w:rPr>
                <w:rFonts w:ascii="宋体" w:hAnsi="宋体"/>
                <w:szCs w:val="21"/>
              </w:rPr>
            </w:pPr>
            <w:r>
              <w:rPr>
                <w:rFonts w:hint="eastAsia" w:ascii="宋体" w:hAnsi="宋体"/>
                <w:szCs w:val="21"/>
              </w:rPr>
              <w:t>a.投标人应接受招标文件规定的风险划分原则，未提出新的风险划分办法；</w:t>
            </w:r>
          </w:p>
          <w:p w14:paraId="7890305D">
            <w:pPr>
              <w:spacing w:line="276" w:lineRule="auto"/>
              <w:ind w:left="113" w:leftChars="54" w:right="113" w:firstLine="315" w:firstLineChars="150"/>
              <w:rPr>
                <w:rFonts w:ascii="宋体" w:hAnsi="宋体"/>
                <w:szCs w:val="21"/>
              </w:rPr>
            </w:pPr>
            <w:r>
              <w:rPr>
                <w:rFonts w:hint="eastAsia" w:ascii="宋体" w:hAnsi="宋体"/>
                <w:szCs w:val="21"/>
              </w:rPr>
              <w:t>b.投标人未增加委托人的责任范围，或减少投标人义务；</w:t>
            </w:r>
          </w:p>
          <w:p w14:paraId="082F2466">
            <w:pPr>
              <w:spacing w:line="276" w:lineRule="auto"/>
              <w:ind w:left="113" w:leftChars="54" w:right="113" w:firstLine="315" w:firstLineChars="150"/>
              <w:rPr>
                <w:rFonts w:ascii="宋体" w:hAnsi="宋体"/>
                <w:szCs w:val="21"/>
              </w:rPr>
            </w:pPr>
            <w:r>
              <w:rPr>
                <w:rFonts w:hint="eastAsia" w:ascii="宋体" w:hAnsi="宋体"/>
                <w:szCs w:val="21"/>
              </w:rPr>
              <w:t>c.投标人未提出不同的支付办法；</w:t>
            </w:r>
          </w:p>
          <w:p w14:paraId="7DCB29CE">
            <w:pPr>
              <w:spacing w:line="276" w:lineRule="auto"/>
              <w:ind w:left="113" w:leftChars="54" w:right="113" w:firstLine="315" w:firstLineChars="150"/>
              <w:rPr>
                <w:rFonts w:ascii="宋体" w:hAnsi="宋体"/>
                <w:szCs w:val="21"/>
              </w:rPr>
            </w:pPr>
            <w:r>
              <w:rPr>
                <w:rFonts w:hint="eastAsia" w:ascii="宋体" w:hAnsi="宋体"/>
                <w:szCs w:val="21"/>
              </w:rPr>
              <w:t>d.投标人对合同纠纷、事故处理办法未提出异议；</w:t>
            </w:r>
          </w:p>
          <w:p w14:paraId="17D82AC2">
            <w:pPr>
              <w:spacing w:line="276" w:lineRule="auto"/>
              <w:ind w:left="113" w:leftChars="54" w:right="113" w:firstLine="315" w:firstLineChars="150"/>
              <w:rPr>
                <w:rFonts w:ascii="宋体" w:hAnsi="宋体"/>
                <w:szCs w:val="21"/>
              </w:rPr>
            </w:pPr>
            <w:r>
              <w:rPr>
                <w:rFonts w:hint="eastAsia" w:ascii="宋体" w:hAnsi="宋体"/>
                <w:szCs w:val="21"/>
              </w:rPr>
              <w:t>e.投标人在投标活动中无欺诈行为；</w:t>
            </w:r>
          </w:p>
          <w:p w14:paraId="3C2740AA">
            <w:pPr>
              <w:spacing w:line="320" w:lineRule="exact"/>
              <w:ind w:left="113" w:leftChars="54" w:right="113" w:firstLine="315" w:firstLineChars="150"/>
              <w:rPr>
                <w:rFonts w:ascii="宋体" w:hAnsi="宋体"/>
                <w:szCs w:val="21"/>
              </w:rPr>
            </w:pPr>
            <w:r>
              <w:rPr>
                <w:rFonts w:hint="eastAsia" w:ascii="宋体" w:hAnsi="宋体"/>
                <w:szCs w:val="21"/>
              </w:rPr>
              <w:t>f.投标人未对合同条款有重要保留。</w:t>
            </w:r>
          </w:p>
          <w:p w14:paraId="37870191">
            <w:pPr>
              <w:spacing w:line="320" w:lineRule="exact"/>
              <w:ind w:left="113" w:right="113" w:firstLine="211" w:firstLineChars="100"/>
              <w:rPr>
                <w:rFonts w:ascii="宋体" w:hAnsi="宋体"/>
                <w:b/>
                <w:szCs w:val="21"/>
              </w:rPr>
            </w:pPr>
            <w:r>
              <w:rPr>
                <w:rFonts w:hint="eastAsia" w:ascii="宋体" w:hAnsi="宋体"/>
                <w:b/>
                <w:szCs w:val="21"/>
              </w:rPr>
              <w:t>第二个信封（报价文件）评审标准：</w:t>
            </w:r>
          </w:p>
          <w:p w14:paraId="69AA713E">
            <w:pPr>
              <w:spacing w:line="320" w:lineRule="exact"/>
              <w:ind w:left="113" w:right="113" w:firstLine="210" w:firstLineChars="100"/>
              <w:rPr>
                <w:rFonts w:hint="eastAsia" w:ascii="宋体" w:hAnsi="宋体"/>
                <w:szCs w:val="21"/>
              </w:rPr>
            </w:pPr>
            <w:r>
              <w:rPr>
                <w:rFonts w:hint="eastAsia" w:ascii="宋体" w:hAnsi="宋体"/>
                <w:szCs w:val="21"/>
              </w:rPr>
              <w:t>（1）投标文件按照招标文件规定的格式、内容填写，字迹清晰可辨，内容齐全完整：</w:t>
            </w:r>
          </w:p>
          <w:p w14:paraId="55F35028">
            <w:pPr>
              <w:spacing w:line="320" w:lineRule="exact"/>
              <w:ind w:left="113" w:right="113" w:firstLine="210" w:firstLineChars="100"/>
              <w:rPr>
                <w:rFonts w:ascii="宋体" w:hAnsi="宋体"/>
                <w:szCs w:val="21"/>
              </w:rPr>
            </w:pPr>
            <w:r>
              <w:rPr>
                <w:rFonts w:hint="eastAsia" w:ascii="宋体" w:hAnsi="宋体"/>
                <w:szCs w:val="21"/>
              </w:rPr>
              <w:t>a.投标函按招标文件规定填报了项目名称、标段号、补遗书编号（如有）、投标价（包括大写金额和小写金额）；</w:t>
            </w:r>
          </w:p>
          <w:p w14:paraId="22C3F0D6">
            <w:pPr>
              <w:spacing w:line="320" w:lineRule="exact"/>
              <w:ind w:left="113" w:right="113" w:firstLine="210" w:firstLineChars="100"/>
              <w:rPr>
                <w:rFonts w:ascii="宋体" w:hAnsi="宋体"/>
                <w:szCs w:val="21"/>
              </w:rPr>
            </w:pPr>
            <w:r>
              <w:rPr>
                <w:rFonts w:hint="eastAsia" w:ascii="宋体" w:hAnsi="宋体"/>
                <w:szCs w:val="21"/>
              </w:rPr>
              <w:t>b.已标价报价清单说明文字与招标文件规定一致，未进行实质性修改和删减；</w:t>
            </w:r>
          </w:p>
          <w:p w14:paraId="55E45C10">
            <w:pPr>
              <w:spacing w:line="320" w:lineRule="exact"/>
              <w:ind w:left="113" w:right="113" w:firstLine="210" w:firstLineChars="100"/>
              <w:rPr>
                <w:rFonts w:ascii="宋体" w:hAnsi="宋体"/>
                <w:szCs w:val="21"/>
              </w:rPr>
            </w:pPr>
            <w:r>
              <w:rPr>
                <w:rFonts w:hint="eastAsia" w:ascii="宋体" w:hAnsi="宋体"/>
                <w:szCs w:val="21"/>
              </w:rPr>
              <w:t>c.投标文件组成齐全完整，内容均按规定填写。</w:t>
            </w:r>
          </w:p>
          <w:p w14:paraId="0233CAB3">
            <w:pPr>
              <w:spacing w:line="320" w:lineRule="exact"/>
              <w:ind w:left="113" w:right="113" w:firstLine="210" w:firstLineChars="100"/>
              <w:rPr>
                <w:rFonts w:ascii="宋体" w:hAnsi="宋体"/>
                <w:szCs w:val="21"/>
              </w:rPr>
            </w:pPr>
            <w:r>
              <w:rPr>
                <w:rFonts w:hint="eastAsia" w:ascii="宋体" w:hAnsi="宋体"/>
                <w:szCs w:val="21"/>
              </w:rPr>
              <w:t>（2）投标文件上法定代表人或其委托代理人的签字、投标人的单位章盖章齐全，符合招标文件规定。</w:t>
            </w:r>
          </w:p>
          <w:p w14:paraId="3310D6DB">
            <w:pPr>
              <w:spacing w:line="320" w:lineRule="exact"/>
              <w:ind w:left="113" w:right="113" w:firstLine="210" w:firstLineChars="100"/>
              <w:rPr>
                <w:rFonts w:ascii="宋体" w:hAnsi="宋体"/>
                <w:szCs w:val="21"/>
              </w:rPr>
            </w:pPr>
            <w:r>
              <w:rPr>
                <w:rFonts w:hint="eastAsia" w:ascii="宋体" w:hAnsi="宋体"/>
                <w:szCs w:val="21"/>
              </w:rPr>
              <w:t>（3）投标报价未超过招标文件设定的最高投标限价。</w:t>
            </w:r>
          </w:p>
          <w:p w14:paraId="4271E3B5">
            <w:pPr>
              <w:spacing w:line="320" w:lineRule="exact"/>
              <w:ind w:left="113" w:right="113" w:firstLine="210" w:firstLineChars="100"/>
              <w:rPr>
                <w:rFonts w:ascii="宋体" w:hAnsi="宋体"/>
                <w:szCs w:val="21"/>
              </w:rPr>
            </w:pPr>
            <w:r>
              <w:rPr>
                <w:rFonts w:hint="eastAsia" w:ascii="宋体" w:hAnsi="宋体"/>
                <w:szCs w:val="21"/>
              </w:rPr>
              <w:t>（4）投标报价的大写金额能够确定具体数值。</w:t>
            </w:r>
          </w:p>
          <w:p w14:paraId="70296426">
            <w:pPr>
              <w:spacing w:line="320" w:lineRule="exact"/>
              <w:ind w:left="113" w:right="113" w:firstLine="210" w:firstLineChars="100"/>
              <w:rPr>
                <w:rFonts w:ascii="宋体" w:hAnsi="宋体"/>
                <w:color w:val="4472C4"/>
                <w:szCs w:val="21"/>
              </w:rPr>
            </w:pPr>
            <w:r>
              <w:rPr>
                <w:rFonts w:hint="eastAsia" w:ascii="宋体" w:hAnsi="宋体"/>
                <w:szCs w:val="21"/>
              </w:rPr>
              <w:t>（5）同一投标人在同一标段未提交两个以上不同的投标报价。</w:t>
            </w:r>
          </w:p>
        </w:tc>
      </w:tr>
      <w:tr w14:paraId="21BFD84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cantSplit/>
          <w:trHeight w:val="3381" w:hRule="atLeast"/>
          <w:jc w:val="center"/>
        </w:trPr>
        <w:tc>
          <w:tcPr>
            <w:tcW w:w="405" w:type="pct"/>
            <w:noWrap w:val="0"/>
            <w:vAlign w:val="center"/>
          </w:tcPr>
          <w:p w14:paraId="3849C31F">
            <w:pPr>
              <w:spacing w:line="320" w:lineRule="exact"/>
              <w:jc w:val="center"/>
              <w:rPr>
                <w:rFonts w:ascii="宋体" w:hAnsi="宋体"/>
                <w:szCs w:val="21"/>
              </w:rPr>
            </w:pPr>
            <w:r>
              <w:rPr>
                <w:rFonts w:hint="eastAsia" w:ascii="宋体" w:hAnsi="宋体"/>
                <w:szCs w:val="21"/>
              </w:rPr>
              <w:t>2.1.2</w:t>
            </w:r>
          </w:p>
        </w:tc>
        <w:tc>
          <w:tcPr>
            <w:tcW w:w="706" w:type="pct"/>
            <w:noWrap w:val="0"/>
            <w:vAlign w:val="center"/>
          </w:tcPr>
          <w:p w14:paraId="5CC7C22E">
            <w:pPr>
              <w:snapToGrid w:val="0"/>
              <w:spacing w:line="320" w:lineRule="exact"/>
              <w:ind w:left="113" w:right="113"/>
              <w:contextualSpacing/>
              <w:jc w:val="center"/>
              <w:rPr>
                <w:rFonts w:ascii="宋体" w:hAnsi="宋体"/>
                <w:szCs w:val="21"/>
              </w:rPr>
            </w:pPr>
            <w:r>
              <w:rPr>
                <w:rFonts w:hint="eastAsia" w:ascii="宋体" w:hAnsi="宋体"/>
                <w:szCs w:val="21"/>
              </w:rPr>
              <w:t>资格评审标准</w:t>
            </w:r>
          </w:p>
        </w:tc>
        <w:tc>
          <w:tcPr>
            <w:tcW w:w="3889" w:type="pct"/>
            <w:noWrap w:val="0"/>
            <w:vAlign w:val="center"/>
          </w:tcPr>
          <w:p w14:paraId="773D59EB">
            <w:pPr>
              <w:spacing w:line="276" w:lineRule="auto"/>
              <w:ind w:left="113" w:right="113" w:firstLine="210" w:firstLineChars="100"/>
              <w:rPr>
                <w:rFonts w:ascii="宋体" w:hAnsi="宋体"/>
                <w:szCs w:val="21"/>
              </w:rPr>
            </w:pPr>
            <w:r>
              <w:rPr>
                <w:rFonts w:hint="eastAsia" w:ascii="宋体" w:hAnsi="宋体"/>
                <w:szCs w:val="21"/>
              </w:rPr>
              <w:t>（1）投标人具备有效的营业执照、组织机构代码证、资质证书和基本账户开户证明材料。</w:t>
            </w:r>
          </w:p>
          <w:p w14:paraId="5038B1A0">
            <w:pPr>
              <w:spacing w:line="276" w:lineRule="auto"/>
              <w:ind w:left="113" w:right="113" w:firstLine="210" w:firstLineChars="100"/>
              <w:rPr>
                <w:rFonts w:ascii="宋体" w:hAnsi="宋体"/>
                <w:szCs w:val="21"/>
              </w:rPr>
            </w:pPr>
            <w:r>
              <w:rPr>
                <w:rFonts w:hint="eastAsia" w:ascii="宋体" w:hAnsi="宋体"/>
                <w:szCs w:val="21"/>
              </w:rPr>
              <w:t>（2）投标人的资质等级符合招标文件规定。</w:t>
            </w:r>
          </w:p>
          <w:p w14:paraId="63D5E0F8">
            <w:pPr>
              <w:spacing w:line="276" w:lineRule="auto"/>
              <w:ind w:left="113" w:right="113" w:firstLine="210" w:firstLineChars="100"/>
              <w:rPr>
                <w:rFonts w:ascii="宋体" w:hAnsi="宋体"/>
                <w:szCs w:val="21"/>
              </w:rPr>
            </w:pPr>
            <w:r>
              <w:rPr>
                <w:rFonts w:hint="eastAsia" w:ascii="宋体" w:hAnsi="宋体"/>
                <w:szCs w:val="21"/>
              </w:rPr>
              <w:t>（3）投标人的类似项目业绩符合招标文件规定。</w:t>
            </w:r>
          </w:p>
          <w:p w14:paraId="6759F78E">
            <w:pPr>
              <w:spacing w:line="276" w:lineRule="auto"/>
              <w:ind w:left="113" w:right="113" w:firstLine="210" w:firstLineChars="100"/>
              <w:rPr>
                <w:rFonts w:ascii="宋体" w:hAnsi="宋体"/>
                <w:szCs w:val="21"/>
              </w:rPr>
            </w:pPr>
            <w:r>
              <w:rPr>
                <w:rFonts w:hint="eastAsia" w:ascii="宋体" w:hAnsi="宋体"/>
                <w:szCs w:val="21"/>
              </w:rPr>
              <w:t>（4）投标人的信誉符合招标文件规定。</w:t>
            </w:r>
          </w:p>
          <w:p w14:paraId="5C8012FA">
            <w:pPr>
              <w:spacing w:line="276" w:lineRule="auto"/>
              <w:ind w:left="113" w:right="113" w:firstLine="210" w:firstLineChars="100"/>
              <w:rPr>
                <w:rFonts w:ascii="宋体" w:hAnsi="宋体"/>
                <w:szCs w:val="21"/>
              </w:rPr>
            </w:pPr>
            <w:r>
              <w:rPr>
                <w:rFonts w:hint="eastAsia" w:ascii="宋体" w:hAnsi="宋体"/>
                <w:szCs w:val="21"/>
              </w:rPr>
              <w:t>（5）投标人的总监理工程师资格、在岗情况符合招标文件规定。</w:t>
            </w:r>
          </w:p>
          <w:p w14:paraId="54474EA6">
            <w:pPr>
              <w:spacing w:line="276" w:lineRule="auto"/>
              <w:ind w:left="113" w:right="113" w:firstLine="210" w:firstLineChars="100"/>
              <w:rPr>
                <w:rFonts w:hint="eastAsia" w:ascii="宋体" w:hAnsi="宋体"/>
                <w:szCs w:val="21"/>
              </w:rPr>
            </w:pPr>
            <w:r>
              <w:rPr>
                <w:rFonts w:hint="eastAsia" w:ascii="宋体" w:hAnsi="宋体"/>
                <w:szCs w:val="21"/>
              </w:rPr>
              <w:t>（6）投标人不存在第二章“投标人须知”第1.4.3项或第1.4.4项规定的任何一种情形。</w:t>
            </w:r>
          </w:p>
          <w:p w14:paraId="7D71688C">
            <w:pPr>
              <w:spacing w:line="276" w:lineRule="auto"/>
              <w:ind w:left="113" w:right="113" w:firstLine="210" w:firstLineChars="100"/>
              <w:rPr>
                <w:rFonts w:ascii="宋体" w:hAnsi="宋体"/>
                <w:szCs w:val="21"/>
              </w:rPr>
            </w:pPr>
            <w:r>
              <w:rPr>
                <w:rFonts w:hint="eastAsia" w:ascii="宋体" w:hAnsi="宋体"/>
                <w:szCs w:val="21"/>
              </w:rPr>
              <w:t>（7）投标人符合第二章“投标人须知”第1.4.5项规定</w:t>
            </w:r>
            <w:r>
              <w:rPr>
                <w:rFonts w:ascii="宋体" w:hAnsi="宋体"/>
                <w:szCs w:val="21"/>
                <w:vertAlign w:val="superscript"/>
              </w:rPr>
              <w:footnoteReference w:id="1"/>
            </w:r>
            <w:r>
              <w:rPr>
                <w:rFonts w:hint="eastAsia" w:ascii="宋体" w:hAnsi="宋体"/>
                <w:szCs w:val="21"/>
              </w:rPr>
              <w:t>。</w:t>
            </w:r>
          </w:p>
          <w:p w14:paraId="39C06AA7">
            <w:pPr>
              <w:spacing w:line="320" w:lineRule="exact"/>
              <w:ind w:left="113" w:right="113" w:firstLine="210" w:firstLineChars="100"/>
              <w:rPr>
                <w:rFonts w:hint="eastAsia" w:ascii="宋体" w:hAnsi="宋体"/>
                <w:color w:val="4472C4"/>
                <w:szCs w:val="21"/>
              </w:rPr>
            </w:pPr>
            <w:r>
              <w:rPr>
                <w:rFonts w:hint="eastAsia" w:ascii="宋体" w:hAnsi="宋体"/>
                <w:szCs w:val="21"/>
              </w:rPr>
              <w:t>（8）以联合体形式参与投标的，联合体各方均未再以自己名义单独或参加其他联合体在同一标段中投标。</w:t>
            </w:r>
          </w:p>
        </w:tc>
      </w:tr>
    </w:tbl>
    <w:p w14:paraId="5CB17F43">
      <w:pPr>
        <w:spacing w:line="320" w:lineRule="exact"/>
        <w:jc w:val="right"/>
        <w:rPr>
          <w:rFonts w:ascii="宋体" w:hAnsi="宋体"/>
          <w:szCs w:val="21"/>
        </w:rPr>
      </w:pPr>
      <w:r>
        <w:rPr>
          <w:rFonts w:ascii="宋体" w:hAnsi="宋体"/>
          <w:szCs w:val="21"/>
        </w:rPr>
        <w:br w:type="page"/>
      </w:r>
    </w:p>
    <w:p w14:paraId="1A16D3BA">
      <w:pPr>
        <w:spacing w:line="320" w:lineRule="exact"/>
        <w:jc w:val="right"/>
        <w:rPr>
          <w:rFonts w:ascii="宋体" w:hAnsi="宋体"/>
          <w:szCs w:val="21"/>
        </w:rPr>
      </w:pPr>
      <w:r>
        <w:rPr>
          <w:rFonts w:hint="eastAsia" w:ascii="宋体" w:hAnsi="宋体"/>
          <w:szCs w:val="21"/>
        </w:rPr>
        <w:t>续上表</w:t>
      </w:r>
    </w:p>
    <w:tbl>
      <w:tblPr>
        <w:tblStyle w:val="1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9"/>
        <w:gridCol w:w="2241"/>
        <w:gridCol w:w="5942"/>
      </w:tblGrid>
      <w:tr w14:paraId="2953D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00" w:hRule="atLeast"/>
          <w:tblHeader/>
          <w:jc w:val="center"/>
        </w:trPr>
        <w:tc>
          <w:tcPr>
            <w:tcW w:w="869" w:type="dxa"/>
            <w:noWrap w:val="0"/>
            <w:vAlign w:val="center"/>
          </w:tcPr>
          <w:p w14:paraId="490DCF8D">
            <w:pPr>
              <w:spacing w:line="320" w:lineRule="exact"/>
              <w:ind w:right="27"/>
              <w:jc w:val="center"/>
              <w:rPr>
                <w:rFonts w:ascii="宋体" w:hAnsi="宋体"/>
                <w:b/>
                <w:szCs w:val="21"/>
              </w:rPr>
            </w:pPr>
            <w:r>
              <w:rPr>
                <w:rFonts w:hint="eastAsia" w:ascii="宋体" w:hAnsi="宋体"/>
                <w:b/>
                <w:szCs w:val="21"/>
              </w:rPr>
              <w:t>条款号</w:t>
            </w:r>
          </w:p>
        </w:tc>
        <w:tc>
          <w:tcPr>
            <w:tcW w:w="2241" w:type="dxa"/>
            <w:noWrap w:val="0"/>
            <w:vAlign w:val="center"/>
          </w:tcPr>
          <w:p w14:paraId="2E6C3E49">
            <w:pPr>
              <w:spacing w:line="320" w:lineRule="exact"/>
              <w:ind w:right="113"/>
              <w:jc w:val="center"/>
              <w:rPr>
                <w:rFonts w:ascii="宋体" w:hAnsi="宋体"/>
                <w:b/>
                <w:szCs w:val="21"/>
              </w:rPr>
            </w:pPr>
            <w:r>
              <w:rPr>
                <w:rFonts w:hint="eastAsia" w:ascii="宋体" w:hAnsi="宋体"/>
                <w:b/>
                <w:szCs w:val="21"/>
              </w:rPr>
              <w:t>条款内容</w:t>
            </w:r>
          </w:p>
        </w:tc>
        <w:tc>
          <w:tcPr>
            <w:tcW w:w="5942" w:type="dxa"/>
            <w:noWrap w:val="0"/>
            <w:vAlign w:val="center"/>
          </w:tcPr>
          <w:p w14:paraId="5ACEDEC0">
            <w:pPr>
              <w:spacing w:line="320" w:lineRule="exact"/>
              <w:ind w:right="113"/>
              <w:jc w:val="center"/>
              <w:rPr>
                <w:rFonts w:ascii="宋体" w:hAnsi="宋体"/>
                <w:b/>
                <w:szCs w:val="21"/>
              </w:rPr>
            </w:pPr>
            <w:r>
              <w:rPr>
                <w:rFonts w:hint="eastAsia" w:ascii="宋体" w:hAnsi="宋体"/>
                <w:b/>
                <w:szCs w:val="21"/>
              </w:rPr>
              <w:t>编列内容</w:t>
            </w:r>
          </w:p>
        </w:tc>
      </w:tr>
      <w:tr w14:paraId="1181D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4" w:hRule="atLeast"/>
          <w:jc w:val="center"/>
        </w:trPr>
        <w:tc>
          <w:tcPr>
            <w:tcW w:w="869" w:type="dxa"/>
            <w:noWrap w:val="0"/>
            <w:vAlign w:val="center"/>
          </w:tcPr>
          <w:p w14:paraId="754C361E">
            <w:pPr>
              <w:spacing w:line="320" w:lineRule="exact"/>
              <w:ind w:right="27"/>
              <w:jc w:val="center"/>
              <w:rPr>
                <w:rFonts w:ascii="宋体" w:hAnsi="宋体"/>
                <w:szCs w:val="21"/>
              </w:rPr>
            </w:pPr>
            <w:r>
              <w:rPr>
                <w:rFonts w:hint="eastAsia" w:ascii="宋体" w:hAnsi="宋体"/>
                <w:szCs w:val="21"/>
              </w:rPr>
              <w:t>2.2.1</w:t>
            </w:r>
          </w:p>
        </w:tc>
        <w:tc>
          <w:tcPr>
            <w:tcW w:w="2241" w:type="dxa"/>
            <w:noWrap w:val="0"/>
            <w:vAlign w:val="center"/>
          </w:tcPr>
          <w:p w14:paraId="2D8F8E8F">
            <w:pPr>
              <w:spacing w:line="320" w:lineRule="exact"/>
              <w:ind w:right="113"/>
              <w:jc w:val="center"/>
              <w:rPr>
                <w:rFonts w:ascii="宋体" w:hAnsi="宋体"/>
                <w:szCs w:val="21"/>
              </w:rPr>
            </w:pPr>
            <w:r>
              <w:rPr>
                <w:rFonts w:hint="eastAsia" w:ascii="宋体" w:hAnsi="宋体"/>
                <w:szCs w:val="21"/>
              </w:rPr>
              <w:t>分值构成</w:t>
            </w:r>
          </w:p>
          <w:p w14:paraId="7023EEE2">
            <w:pPr>
              <w:spacing w:line="320" w:lineRule="exact"/>
              <w:ind w:right="113"/>
              <w:jc w:val="center"/>
              <w:rPr>
                <w:rFonts w:ascii="宋体" w:hAnsi="宋体"/>
                <w:szCs w:val="21"/>
              </w:rPr>
            </w:pPr>
            <w:r>
              <w:rPr>
                <w:rFonts w:hint="eastAsia" w:ascii="宋体" w:hAnsi="宋体"/>
                <w:szCs w:val="21"/>
              </w:rPr>
              <w:t>（总分100分）</w:t>
            </w:r>
          </w:p>
        </w:tc>
        <w:tc>
          <w:tcPr>
            <w:tcW w:w="5942" w:type="dxa"/>
            <w:noWrap w:val="0"/>
            <w:vAlign w:val="center"/>
          </w:tcPr>
          <w:p w14:paraId="2F68E71E">
            <w:pPr>
              <w:spacing w:line="320" w:lineRule="exact"/>
              <w:ind w:left="113" w:leftChars="54" w:right="113" w:firstLine="420" w:firstLineChars="199"/>
              <w:rPr>
                <w:rFonts w:ascii="宋体" w:hAnsi="宋体"/>
                <w:b/>
                <w:szCs w:val="21"/>
              </w:rPr>
            </w:pPr>
            <w:r>
              <w:rPr>
                <w:rFonts w:hint="eastAsia" w:ascii="宋体" w:hAnsi="宋体"/>
                <w:b/>
                <w:szCs w:val="21"/>
              </w:rPr>
              <w:t>第一个信封（商务及技术文件）评分分值构成：</w:t>
            </w:r>
          </w:p>
          <w:p w14:paraId="5B7AA645">
            <w:pPr>
              <w:spacing w:line="320" w:lineRule="exact"/>
              <w:ind w:left="113" w:leftChars="54" w:right="113" w:firstLine="420" w:firstLineChars="200"/>
              <w:rPr>
                <w:rFonts w:ascii="宋体" w:hAnsi="宋体"/>
                <w:szCs w:val="21"/>
              </w:rPr>
            </w:pPr>
            <w:r>
              <w:rPr>
                <w:rFonts w:hint="eastAsia" w:ascii="宋体" w:hAnsi="宋体"/>
                <w:szCs w:val="21"/>
              </w:rPr>
              <w:t>技术建议书：</w:t>
            </w:r>
            <w:r>
              <w:rPr>
                <w:rFonts w:hint="eastAsia" w:ascii="宋体" w:hAnsi="宋体"/>
                <w:szCs w:val="21"/>
                <w:u w:val="single"/>
              </w:rPr>
              <w:t xml:space="preserve"> 35  </w:t>
            </w:r>
            <w:r>
              <w:rPr>
                <w:rFonts w:hint="eastAsia" w:ascii="宋体" w:hAnsi="宋体"/>
                <w:szCs w:val="21"/>
              </w:rPr>
              <w:t>分</w:t>
            </w:r>
          </w:p>
          <w:p w14:paraId="47B667B3">
            <w:pPr>
              <w:spacing w:line="320" w:lineRule="exact"/>
              <w:ind w:left="113" w:leftChars="54" w:right="113" w:firstLine="420" w:firstLineChars="200"/>
              <w:rPr>
                <w:rFonts w:ascii="宋体" w:hAnsi="宋体"/>
                <w:szCs w:val="21"/>
              </w:rPr>
            </w:pPr>
            <w:r>
              <w:rPr>
                <w:rFonts w:hint="eastAsia" w:ascii="宋体" w:hAnsi="宋体"/>
                <w:szCs w:val="21"/>
              </w:rPr>
              <w:t>主要人员：</w:t>
            </w:r>
            <w:r>
              <w:rPr>
                <w:rFonts w:hint="eastAsia" w:ascii="宋体" w:hAnsi="宋体"/>
                <w:szCs w:val="21"/>
                <w:u w:val="single"/>
              </w:rPr>
              <w:t xml:space="preserve">  25  </w:t>
            </w:r>
            <w:r>
              <w:rPr>
                <w:rFonts w:hint="eastAsia" w:ascii="宋体" w:hAnsi="宋体"/>
                <w:szCs w:val="21"/>
              </w:rPr>
              <w:t>分</w:t>
            </w:r>
          </w:p>
          <w:p w14:paraId="38A5A2FC">
            <w:pPr>
              <w:spacing w:line="320" w:lineRule="exact"/>
              <w:ind w:left="113" w:leftChars="54" w:right="113" w:firstLine="420" w:firstLineChars="200"/>
              <w:rPr>
                <w:rFonts w:ascii="宋体" w:hAnsi="宋体"/>
                <w:szCs w:val="21"/>
              </w:rPr>
            </w:pPr>
            <w:r>
              <w:rPr>
                <w:rFonts w:hint="eastAsia" w:ascii="宋体" w:hAnsi="宋体"/>
                <w:szCs w:val="21"/>
              </w:rPr>
              <w:t>业绩：</w:t>
            </w:r>
            <w:r>
              <w:rPr>
                <w:rFonts w:hint="eastAsia" w:ascii="宋体" w:hAnsi="宋体"/>
                <w:szCs w:val="21"/>
                <w:u w:val="single"/>
              </w:rPr>
              <w:t xml:space="preserve">  20  </w:t>
            </w:r>
            <w:r>
              <w:rPr>
                <w:rFonts w:hint="eastAsia" w:ascii="宋体" w:hAnsi="宋体"/>
                <w:szCs w:val="21"/>
              </w:rPr>
              <w:t>分</w:t>
            </w:r>
          </w:p>
          <w:p w14:paraId="0537BF28">
            <w:pPr>
              <w:spacing w:line="320" w:lineRule="exact"/>
              <w:ind w:left="113" w:leftChars="54" w:right="113" w:firstLine="420" w:firstLineChars="200"/>
              <w:rPr>
                <w:rFonts w:ascii="宋体" w:hAnsi="宋体"/>
                <w:szCs w:val="21"/>
              </w:rPr>
            </w:pPr>
            <w:r>
              <w:rPr>
                <w:rFonts w:hint="eastAsia" w:ascii="宋体" w:hAnsi="宋体"/>
                <w:szCs w:val="21"/>
              </w:rPr>
              <w:t>履约信誉：</w:t>
            </w:r>
            <w:r>
              <w:rPr>
                <w:rFonts w:hint="eastAsia" w:ascii="宋体" w:hAnsi="宋体"/>
                <w:szCs w:val="21"/>
                <w:u w:val="single"/>
              </w:rPr>
              <w:t xml:space="preserve">  10  </w:t>
            </w:r>
            <w:r>
              <w:rPr>
                <w:rFonts w:hint="eastAsia" w:ascii="宋体" w:hAnsi="宋体"/>
                <w:szCs w:val="21"/>
              </w:rPr>
              <w:t>分</w:t>
            </w:r>
          </w:p>
          <w:p w14:paraId="5C02088A">
            <w:pPr>
              <w:spacing w:line="320" w:lineRule="exact"/>
              <w:ind w:left="113" w:leftChars="54" w:right="113" w:firstLine="420" w:firstLineChars="199"/>
              <w:rPr>
                <w:rFonts w:ascii="宋体" w:hAnsi="宋体"/>
                <w:b/>
                <w:szCs w:val="21"/>
              </w:rPr>
            </w:pPr>
            <w:r>
              <w:rPr>
                <w:rFonts w:hint="eastAsia" w:ascii="宋体" w:hAnsi="宋体"/>
                <w:b/>
                <w:szCs w:val="21"/>
              </w:rPr>
              <w:t>第二个信封（报价文件）评分分值构成：</w:t>
            </w:r>
          </w:p>
          <w:p w14:paraId="246AEA1B">
            <w:pPr>
              <w:spacing w:line="320" w:lineRule="exact"/>
              <w:ind w:left="113" w:leftChars="54" w:right="113" w:firstLine="420" w:firstLineChars="200"/>
              <w:rPr>
                <w:rFonts w:ascii="宋体" w:hAnsi="宋体"/>
                <w:szCs w:val="21"/>
              </w:rPr>
            </w:pPr>
            <w:r>
              <w:rPr>
                <w:rFonts w:hint="eastAsia" w:ascii="宋体" w:hAnsi="宋体"/>
                <w:szCs w:val="21"/>
              </w:rPr>
              <w:t>评标价：</w:t>
            </w:r>
            <w:r>
              <w:rPr>
                <w:rFonts w:hint="eastAsia" w:ascii="宋体" w:hAnsi="宋体"/>
                <w:szCs w:val="21"/>
                <w:u w:val="single"/>
              </w:rPr>
              <w:t xml:space="preserve">  10  </w:t>
            </w:r>
            <w:r>
              <w:rPr>
                <w:rFonts w:hint="eastAsia" w:ascii="宋体" w:hAnsi="宋体"/>
                <w:szCs w:val="21"/>
              </w:rPr>
              <w:t>分</w:t>
            </w:r>
          </w:p>
        </w:tc>
      </w:tr>
      <w:tr w14:paraId="6C8DE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6" w:hRule="atLeast"/>
          <w:jc w:val="center"/>
        </w:trPr>
        <w:tc>
          <w:tcPr>
            <w:tcW w:w="869" w:type="dxa"/>
            <w:noWrap w:val="0"/>
            <w:vAlign w:val="center"/>
          </w:tcPr>
          <w:p w14:paraId="35CDF3E9">
            <w:pPr>
              <w:ind w:right="27"/>
              <w:jc w:val="center"/>
              <w:rPr>
                <w:rFonts w:ascii="宋体" w:hAnsi="宋体"/>
                <w:szCs w:val="21"/>
              </w:rPr>
            </w:pPr>
            <w:r>
              <w:rPr>
                <w:rFonts w:hint="eastAsia" w:ascii="宋体" w:hAnsi="宋体"/>
                <w:szCs w:val="21"/>
              </w:rPr>
              <w:t>2.2.2</w:t>
            </w:r>
          </w:p>
        </w:tc>
        <w:tc>
          <w:tcPr>
            <w:tcW w:w="2241" w:type="dxa"/>
            <w:noWrap w:val="0"/>
            <w:vAlign w:val="center"/>
          </w:tcPr>
          <w:p w14:paraId="0F4E9593">
            <w:pPr>
              <w:ind w:left="113" w:right="113"/>
              <w:jc w:val="center"/>
              <w:rPr>
                <w:rFonts w:ascii="宋体" w:hAnsi="宋体"/>
                <w:szCs w:val="21"/>
              </w:rPr>
            </w:pPr>
            <w:r>
              <w:rPr>
                <w:rFonts w:hint="eastAsia" w:ascii="宋体" w:hAnsi="宋体"/>
                <w:szCs w:val="21"/>
              </w:rPr>
              <w:t>评标基准价</w:t>
            </w:r>
          </w:p>
          <w:p w14:paraId="04E6D5B1">
            <w:pPr>
              <w:ind w:left="113" w:right="113"/>
              <w:jc w:val="center"/>
              <w:rPr>
                <w:rFonts w:ascii="宋体" w:hAnsi="宋体"/>
                <w:szCs w:val="21"/>
              </w:rPr>
            </w:pPr>
            <w:r>
              <w:rPr>
                <w:rFonts w:hint="eastAsia" w:ascii="宋体" w:hAnsi="宋体"/>
                <w:szCs w:val="21"/>
              </w:rPr>
              <w:t>计算方法</w:t>
            </w:r>
          </w:p>
        </w:tc>
        <w:tc>
          <w:tcPr>
            <w:tcW w:w="5942" w:type="dxa"/>
            <w:noWrap w:val="0"/>
            <w:vAlign w:val="center"/>
          </w:tcPr>
          <w:p w14:paraId="5A5F4908">
            <w:pPr>
              <w:ind w:left="113" w:leftChars="54" w:right="113" w:firstLine="420" w:firstLineChars="200"/>
              <w:rPr>
                <w:rFonts w:ascii="宋体" w:hAnsi="宋体"/>
                <w:szCs w:val="21"/>
              </w:rPr>
            </w:pPr>
            <w:r>
              <w:rPr>
                <w:rFonts w:hint="eastAsia" w:ascii="宋体" w:hAnsi="宋体"/>
                <w:szCs w:val="21"/>
              </w:rPr>
              <w:t>评标基准价的计算：</w:t>
            </w:r>
          </w:p>
          <w:p w14:paraId="1FAFCD13">
            <w:pPr>
              <w:ind w:left="113" w:leftChars="54" w:right="113" w:firstLine="420" w:firstLineChars="200"/>
              <w:rPr>
                <w:rFonts w:ascii="宋体" w:hAnsi="宋体"/>
                <w:szCs w:val="21"/>
              </w:rPr>
            </w:pPr>
            <w:r>
              <w:rPr>
                <w:rFonts w:hint="eastAsia" w:ascii="宋体" w:hAnsi="宋体"/>
                <w:szCs w:val="21"/>
              </w:rPr>
              <w:t>在开标现场，招标人将当场计算并宣布评标基准价。</w:t>
            </w:r>
          </w:p>
          <w:p w14:paraId="584F12AA">
            <w:pPr>
              <w:ind w:left="113" w:leftChars="54" w:right="113" w:firstLine="315" w:firstLineChars="150"/>
              <w:rPr>
                <w:rFonts w:ascii="宋体" w:hAnsi="宋体"/>
                <w:szCs w:val="21"/>
              </w:rPr>
            </w:pPr>
            <w:r>
              <w:rPr>
                <w:rFonts w:hint="eastAsia" w:ascii="宋体" w:hAnsi="宋体"/>
                <w:szCs w:val="21"/>
              </w:rPr>
              <w:t>（1）评标价的确定：</w:t>
            </w:r>
          </w:p>
          <w:p w14:paraId="68926CE3">
            <w:pPr>
              <w:ind w:left="113" w:leftChars="54" w:right="113" w:firstLine="420" w:firstLineChars="200"/>
              <w:rPr>
                <w:rFonts w:ascii="宋体" w:hAnsi="宋体"/>
                <w:szCs w:val="21"/>
              </w:rPr>
            </w:pPr>
            <w:r>
              <w:rPr>
                <w:rFonts w:hint="eastAsia" w:ascii="宋体" w:hAnsi="宋体"/>
                <w:szCs w:val="21"/>
              </w:rPr>
              <w:t>评标价=投标函文字报价</w:t>
            </w:r>
          </w:p>
          <w:p w14:paraId="6AA90334">
            <w:pPr>
              <w:ind w:left="113" w:leftChars="54" w:right="113" w:firstLine="315" w:firstLineChars="150"/>
              <w:rPr>
                <w:rFonts w:ascii="宋体" w:hAnsi="宋体"/>
                <w:szCs w:val="21"/>
              </w:rPr>
            </w:pPr>
            <w:r>
              <w:rPr>
                <w:rFonts w:hint="eastAsia" w:ascii="宋体" w:hAnsi="宋体"/>
                <w:szCs w:val="21"/>
              </w:rPr>
              <w:t>（2）评标价平均值的计算：</w:t>
            </w:r>
          </w:p>
          <w:p w14:paraId="04B184A8">
            <w:pPr>
              <w:spacing w:line="276" w:lineRule="auto"/>
              <w:ind w:left="113" w:leftChars="54" w:right="113" w:firstLine="420" w:firstLineChars="200"/>
              <w:rPr>
                <w:rFonts w:ascii="宋体" w:hAnsi="宋体"/>
                <w:szCs w:val="21"/>
              </w:rPr>
            </w:pPr>
            <w:r>
              <w:rPr>
                <w:rFonts w:hint="eastAsia" w:ascii="宋体" w:hAnsi="宋体"/>
                <w:szCs w:val="21"/>
              </w:rPr>
              <w:t>方案二：</w:t>
            </w:r>
            <w:r>
              <w:rPr>
                <w:rFonts w:ascii="宋体" w:hAnsi="宋体"/>
                <w:szCs w:val="21"/>
              </w:rPr>
              <w:t>除按第二章“投标人须知”第5.2.</w:t>
            </w:r>
            <w:r>
              <w:rPr>
                <w:rFonts w:hint="eastAsia" w:ascii="宋体" w:hAnsi="宋体"/>
                <w:szCs w:val="21"/>
              </w:rPr>
              <w:t>4</w:t>
            </w:r>
            <w:r>
              <w:rPr>
                <w:rFonts w:ascii="宋体" w:hAnsi="宋体"/>
                <w:szCs w:val="21"/>
              </w:rPr>
              <w:t>项规定开标现场被宣布为</w:t>
            </w:r>
            <w:r>
              <w:rPr>
                <w:rFonts w:hint="eastAsia" w:ascii="宋体" w:hAnsi="宋体"/>
                <w:szCs w:val="21"/>
              </w:rPr>
              <w:t>不参与评标基准价计算</w:t>
            </w:r>
            <w:r>
              <w:rPr>
                <w:rFonts w:ascii="宋体" w:hAnsi="宋体"/>
                <w:szCs w:val="21"/>
              </w:rPr>
              <w:t>的投标报价之外，</w:t>
            </w:r>
            <w:r>
              <w:rPr>
                <w:rFonts w:hint="eastAsia" w:ascii="宋体" w:hAnsi="宋体"/>
                <w:szCs w:val="21"/>
              </w:rPr>
              <w:t>所有投标人的评标价去掉一个最高值和一个最低值后的算术平均值即为评标价平均值</w:t>
            </w:r>
            <w:r>
              <w:rPr>
                <w:rFonts w:hint="eastAsia" w:ascii="宋体" w:hAnsi="宋体" w:cs="宋体"/>
                <w:bCs/>
                <w:szCs w:val="21"/>
              </w:rPr>
              <w:t>（</w:t>
            </w:r>
            <w:r>
              <w:rPr>
                <w:rFonts w:ascii="宋体" w:hAnsi="宋体" w:cs="宋体"/>
                <w:bCs/>
                <w:szCs w:val="21"/>
              </w:rPr>
              <w:t>如</w:t>
            </w:r>
            <w:r>
              <w:rPr>
                <w:rFonts w:hint="eastAsia" w:ascii="宋体" w:hAnsi="宋体" w:cs="宋体"/>
                <w:bCs/>
                <w:szCs w:val="21"/>
              </w:rPr>
              <w:t>果参与评标价平均值计算的有效投标人少于5家时</w:t>
            </w:r>
            <w:r>
              <w:rPr>
                <w:rFonts w:ascii="宋体" w:hAnsi="宋体" w:cs="宋体"/>
                <w:bCs/>
                <w:szCs w:val="21"/>
              </w:rPr>
              <w:t>，则</w:t>
            </w:r>
            <w:r>
              <w:rPr>
                <w:rFonts w:hint="eastAsia" w:ascii="宋体" w:hAnsi="宋体" w:cs="宋体"/>
                <w:bCs/>
                <w:szCs w:val="21"/>
              </w:rPr>
              <w:t>计算评标价平均值时</w:t>
            </w:r>
            <w:r>
              <w:rPr>
                <w:rFonts w:ascii="宋体" w:hAnsi="宋体" w:cs="宋体"/>
                <w:bCs/>
                <w:szCs w:val="21"/>
              </w:rPr>
              <w:t>不去掉</w:t>
            </w:r>
            <w:r>
              <w:rPr>
                <w:rFonts w:hint="eastAsia" w:ascii="宋体" w:hAnsi="宋体" w:cs="宋体"/>
                <w:bCs/>
                <w:szCs w:val="21"/>
              </w:rPr>
              <w:t>最高值和最低值），评标价平均值的计算保留整数，小数点后第1位“四舍五入”。</w:t>
            </w:r>
          </w:p>
          <w:p w14:paraId="59884CD8">
            <w:pPr>
              <w:ind w:left="113" w:leftChars="54" w:right="113" w:firstLine="420" w:firstLineChars="200"/>
              <w:rPr>
                <w:rFonts w:ascii="宋体" w:hAnsi="宋体"/>
                <w:szCs w:val="21"/>
              </w:rPr>
            </w:pPr>
            <w:r>
              <w:rPr>
                <w:rFonts w:hint="eastAsia" w:ascii="宋体" w:hAnsi="宋体"/>
                <w:szCs w:val="21"/>
              </w:rPr>
              <w:t>（3）评标基准价的确定：</w:t>
            </w:r>
          </w:p>
          <w:p w14:paraId="35CA77C0">
            <w:pPr>
              <w:ind w:left="113" w:leftChars="54" w:right="113" w:firstLine="420" w:firstLineChars="200"/>
              <w:rPr>
                <w:rFonts w:ascii="宋体" w:hAnsi="宋体"/>
                <w:szCs w:val="21"/>
              </w:rPr>
            </w:pPr>
            <w:r>
              <w:rPr>
                <w:rFonts w:hint="eastAsia" w:ascii="宋体" w:hAnsi="宋体"/>
                <w:szCs w:val="21"/>
              </w:rPr>
              <w:t>方法一：将评标价平均值直接作为评标基准价。</w:t>
            </w:r>
          </w:p>
          <w:p w14:paraId="67227C09">
            <w:pPr>
              <w:spacing w:line="320" w:lineRule="exact"/>
              <w:ind w:left="113" w:leftChars="54" w:right="113" w:firstLine="417" w:firstLineChars="199"/>
              <w:rPr>
                <w:rFonts w:ascii="宋体" w:hAnsi="宋体"/>
                <w:szCs w:val="21"/>
              </w:rPr>
            </w:pPr>
            <w:r>
              <w:rPr>
                <w:rFonts w:hint="eastAsia" w:ascii="宋体" w:hAnsi="宋体"/>
                <w:szCs w:val="21"/>
              </w:rPr>
              <w:t>在评标过程中，评标委员会应对计算的评标基准价进行复核，存在计算错误的应予以修正并在评标报告中作出说明。除此之外，评标基准价在整个评标期间保持不变，不随任何因素发生变化。</w:t>
            </w:r>
          </w:p>
        </w:tc>
      </w:tr>
      <w:tr w14:paraId="7F69C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0" w:hRule="atLeast"/>
          <w:jc w:val="center"/>
        </w:trPr>
        <w:tc>
          <w:tcPr>
            <w:tcW w:w="869" w:type="dxa"/>
            <w:noWrap w:val="0"/>
            <w:vAlign w:val="center"/>
          </w:tcPr>
          <w:p w14:paraId="70CC8EB8">
            <w:pPr>
              <w:ind w:right="27"/>
              <w:jc w:val="center"/>
              <w:rPr>
                <w:rFonts w:ascii="宋体" w:hAnsi="宋体"/>
                <w:szCs w:val="21"/>
              </w:rPr>
            </w:pPr>
            <w:r>
              <w:rPr>
                <w:rFonts w:hint="eastAsia" w:ascii="宋体" w:hAnsi="宋体"/>
                <w:szCs w:val="21"/>
              </w:rPr>
              <w:t>2.2.3</w:t>
            </w:r>
          </w:p>
        </w:tc>
        <w:tc>
          <w:tcPr>
            <w:tcW w:w="2241" w:type="dxa"/>
            <w:noWrap w:val="0"/>
            <w:vAlign w:val="center"/>
          </w:tcPr>
          <w:p w14:paraId="54C21693">
            <w:pPr>
              <w:ind w:left="113" w:right="113"/>
              <w:jc w:val="center"/>
              <w:rPr>
                <w:rFonts w:ascii="宋体" w:hAnsi="宋体"/>
                <w:szCs w:val="21"/>
              </w:rPr>
            </w:pPr>
            <w:r>
              <w:rPr>
                <w:rFonts w:hint="eastAsia" w:ascii="宋体" w:hAnsi="宋体"/>
                <w:szCs w:val="21"/>
              </w:rPr>
              <w:t>评标价的偏差率</w:t>
            </w:r>
          </w:p>
          <w:p w14:paraId="6B49B655">
            <w:pPr>
              <w:ind w:left="113" w:right="113"/>
              <w:jc w:val="center"/>
              <w:rPr>
                <w:rFonts w:ascii="宋体" w:hAnsi="宋体"/>
                <w:szCs w:val="21"/>
              </w:rPr>
            </w:pPr>
            <w:r>
              <w:rPr>
                <w:rFonts w:hint="eastAsia" w:ascii="宋体" w:hAnsi="宋体"/>
                <w:szCs w:val="21"/>
              </w:rPr>
              <w:t>计算公式</w:t>
            </w:r>
          </w:p>
        </w:tc>
        <w:tc>
          <w:tcPr>
            <w:tcW w:w="5942" w:type="dxa"/>
            <w:noWrap w:val="0"/>
            <w:vAlign w:val="center"/>
          </w:tcPr>
          <w:p w14:paraId="41E25E12">
            <w:pPr>
              <w:ind w:firstLine="420" w:firstLineChars="200"/>
              <w:jc w:val="left"/>
              <w:rPr>
                <w:rFonts w:ascii="宋体" w:hAnsi="宋体"/>
                <w:szCs w:val="21"/>
              </w:rPr>
            </w:pPr>
            <w:r>
              <w:rPr>
                <w:rFonts w:hint="eastAsia" w:ascii="宋体" w:hAnsi="宋体"/>
                <w:szCs w:val="21"/>
              </w:rPr>
              <w:t>偏差率=100%×（投标人评标价-评标基准价）/评标基准价</w:t>
            </w:r>
          </w:p>
          <w:p w14:paraId="7F2216CC">
            <w:pPr>
              <w:ind w:firstLine="420" w:firstLineChars="200"/>
              <w:jc w:val="left"/>
              <w:rPr>
                <w:rFonts w:ascii="宋体" w:hAnsi="宋体"/>
                <w:b/>
                <w:szCs w:val="21"/>
              </w:rPr>
            </w:pPr>
            <w:r>
              <w:rPr>
                <w:rFonts w:hint="eastAsia" w:ascii="宋体" w:hAnsi="宋体"/>
                <w:szCs w:val="21"/>
              </w:rPr>
              <w:t>偏差率保留</w:t>
            </w:r>
            <w:r>
              <w:rPr>
                <w:rFonts w:hint="eastAsia" w:ascii="宋体" w:hAnsi="宋体"/>
                <w:szCs w:val="21"/>
                <w:u w:val="single"/>
              </w:rPr>
              <w:t xml:space="preserve"> 2 </w:t>
            </w:r>
            <w:r>
              <w:rPr>
                <w:rFonts w:hint="eastAsia" w:ascii="宋体" w:hAnsi="宋体"/>
                <w:szCs w:val="21"/>
              </w:rPr>
              <w:t>位小数</w:t>
            </w:r>
          </w:p>
        </w:tc>
      </w:tr>
    </w:tbl>
    <w:p w14:paraId="7C1E50B7">
      <w:pPr>
        <w:wordWrap w:val="0"/>
        <w:jc w:val="right"/>
        <w:rPr>
          <w:rFonts w:ascii="宋体" w:hAnsi="宋体"/>
          <w:szCs w:val="21"/>
        </w:rPr>
      </w:pPr>
      <w:r>
        <w:rPr>
          <w:rFonts w:ascii="宋体" w:hAnsi="宋体"/>
          <w:szCs w:val="21"/>
        </w:rPr>
        <w:br w:type="page"/>
      </w:r>
      <w:r>
        <w:rPr>
          <w:rFonts w:hint="eastAsia" w:ascii="宋体" w:hAnsi="宋体"/>
          <w:szCs w:val="21"/>
        </w:rPr>
        <w:t>续上表</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0"/>
        <w:gridCol w:w="645"/>
        <w:gridCol w:w="599"/>
        <w:gridCol w:w="1199"/>
        <w:gridCol w:w="1443"/>
        <w:gridCol w:w="1276"/>
        <w:gridCol w:w="3090"/>
      </w:tblGrid>
      <w:tr w14:paraId="3649E5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 w:hRule="atLeast"/>
          <w:tblHeader/>
          <w:jc w:val="center"/>
        </w:trPr>
        <w:tc>
          <w:tcPr>
            <w:tcW w:w="6102" w:type="dxa"/>
            <w:gridSpan w:val="6"/>
            <w:noWrap w:val="0"/>
            <w:vAlign w:val="center"/>
          </w:tcPr>
          <w:p w14:paraId="6D639A78">
            <w:pPr>
              <w:jc w:val="center"/>
              <w:rPr>
                <w:rFonts w:ascii="宋体" w:hAnsi="宋体"/>
                <w:b/>
                <w:szCs w:val="21"/>
              </w:rPr>
            </w:pPr>
            <w:r>
              <w:rPr>
                <w:rFonts w:hint="eastAsia" w:ascii="宋体" w:hAnsi="宋体"/>
                <w:b/>
                <w:szCs w:val="21"/>
              </w:rPr>
              <w:t>评分因素与权重分值</w:t>
            </w:r>
            <w:r>
              <w:rPr>
                <w:szCs w:val="21"/>
                <w:vertAlign w:val="superscript"/>
              </w:rPr>
              <w:footnoteReference w:id="2"/>
            </w:r>
          </w:p>
        </w:tc>
        <w:tc>
          <w:tcPr>
            <w:tcW w:w="3090" w:type="dxa"/>
            <w:vMerge w:val="restart"/>
            <w:noWrap w:val="0"/>
            <w:vAlign w:val="center"/>
          </w:tcPr>
          <w:p w14:paraId="5579E6D3">
            <w:pPr>
              <w:jc w:val="center"/>
              <w:rPr>
                <w:rFonts w:ascii="宋体" w:hAnsi="宋体"/>
                <w:b/>
                <w:szCs w:val="21"/>
              </w:rPr>
            </w:pPr>
            <w:r>
              <w:rPr>
                <w:rFonts w:hint="eastAsia" w:ascii="宋体" w:hAnsi="宋体"/>
                <w:b/>
                <w:szCs w:val="21"/>
              </w:rPr>
              <w:t>评分标准</w:t>
            </w:r>
          </w:p>
        </w:tc>
      </w:tr>
      <w:tr w14:paraId="3498AC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40" w:type="dxa"/>
            <w:noWrap w:val="0"/>
            <w:vAlign w:val="center"/>
          </w:tcPr>
          <w:p w14:paraId="56EDB30B">
            <w:pPr>
              <w:jc w:val="center"/>
              <w:rPr>
                <w:rFonts w:ascii="宋体" w:hAnsi="宋体"/>
                <w:b/>
                <w:szCs w:val="21"/>
              </w:rPr>
            </w:pPr>
            <w:r>
              <w:rPr>
                <w:rFonts w:hint="eastAsia" w:ascii="宋体" w:hAnsi="宋体"/>
                <w:b/>
                <w:szCs w:val="21"/>
              </w:rPr>
              <w:t>条款号</w:t>
            </w:r>
          </w:p>
        </w:tc>
        <w:tc>
          <w:tcPr>
            <w:tcW w:w="1244" w:type="dxa"/>
            <w:gridSpan w:val="2"/>
            <w:noWrap w:val="0"/>
            <w:vAlign w:val="center"/>
          </w:tcPr>
          <w:p w14:paraId="0CF8BF5C">
            <w:pPr>
              <w:jc w:val="center"/>
              <w:rPr>
                <w:rFonts w:ascii="宋体" w:hAnsi="宋体"/>
                <w:b/>
                <w:szCs w:val="21"/>
              </w:rPr>
            </w:pPr>
            <w:r>
              <w:rPr>
                <w:rFonts w:hint="eastAsia" w:ascii="宋体" w:hAnsi="宋体"/>
                <w:b/>
                <w:szCs w:val="21"/>
              </w:rPr>
              <w:t>评分因素</w:t>
            </w:r>
          </w:p>
        </w:tc>
        <w:tc>
          <w:tcPr>
            <w:tcW w:w="1199" w:type="dxa"/>
            <w:noWrap w:val="0"/>
            <w:vAlign w:val="center"/>
          </w:tcPr>
          <w:p w14:paraId="03406F03">
            <w:pPr>
              <w:jc w:val="center"/>
              <w:rPr>
                <w:rFonts w:ascii="宋体" w:hAnsi="宋体"/>
                <w:b/>
                <w:szCs w:val="21"/>
              </w:rPr>
            </w:pPr>
            <w:r>
              <w:rPr>
                <w:rFonts w:hint="eastAsia" w:ascii="宋体" w:hAnsi="宋体"/>
                <w:b/>
                <w:szCs w:val="21"/>
              </w:rPr>
              <w:t>评分因素</w:t>
            </w:r>
          </w:p>
          <w:p w14:paraId="1469522D">
            <w:pPr>
              <w:jc w:val="center"/>
              <w:rPr>
                <w:rFonts w:ascii="宋体" w:hAnsi="宋体"/>
                <w:b/>
                <w:szCs w:val="21"/>
              </w:rPr>
            </w:pPr>
            <w:r>
              <w:rPr>
                <w:rFonts w:hint="eastAsia" w:ascii="宋体" w:hAnsi="宋体"/>
                <w:b/>
                <w:szCs w:val="21"/>
              </w:rPr>
              <w:t>权重分值</w:t>
            </w:r>
          </w:p>
        </w:tc>
        <w:tc>
          <w:tcPr>
            <w:tcW w:w="1443" w:type="dxa"/>
            <w:noWrap w:val="0"/>
            <w:vAlign w:val="center"/>
          </w:tcPr>
          <w:p w14:paraId="5F6C98A4">
            <w:pPr>
              <w:jc w:val="center"/>
              <w:rPr>
                <w:rFonts w:ascii="宋体" w:hAnsi="宋体"/>
                <w:b/>
                <w:szCs w:val="21"/>
              </w:rPr>
            </w:pPr>
            <w:r>
              <w:rPr>
                <w:rFonts w:hint="eastAsia" w:ascii="宋体" w:hAnsi="宋体"/>
                <w:b/>
                <w:szCs w:val="21"/>
              </w:rPr>
              <w:t>各评分因素</w:t>
            </w:r>
          </w:p>
          <w:p w14:paraId="00A7DE41">
            <w:pPr>
              <w:jc w:val="center"/>
              <w:rPr>
                <w:rFonts w:ascii="宋体" w:hAnsi="宋体"/>
                <w:b/>
                <w:szCs w:val="21"/>
              </w:rPr>
            </w:pPr>
            <w:r>
              <w:rPr>
                <w:rFonts w:hint="eastAsia" w:ascii="宋体" w:hAnsi="宋体"/>
                <w:b/>
                <w:szCs w:val="21"/>
              </w:rPr>
              <w:t>细分项</w:t>
            </w:r>
          </w:p>
        </w:tc>
        <w:tc>
          <w:tcPr>
            <w:tcW w:w="1276" w:type="dxa"/>
            <w:noWrap w:val="0"/>
            <w:vAlign w:val="center"/>
          </w:tcPr>
          <w:p w14:paraId="609B55B5">
            <w:pPr>
              <w:jc w:val="center"/>
              <w:rPr>
                <w:rFonts w:ascii="宋体" w:hAnsi="宋体"/>
                <w:b/>
                <w:szCs w:val="21"/>
              </w:rPr>
            </w:pPr>
            <w:r>
              <w:rPr>
                <w:rFonts w:hint="eastAsia" w:ascii="宋体" w:hAnsi="宋体"/>
                <w:b/>
                <w:szCs w:val="21"/>
              </w:rPr>
              <w:t>分值</w:t>
            </w:r>
          </w:p>
        </w:tc>
        <w:tc>
          <w:tcPr>
            <w:tcW w:w="3090" w:type="dxa"/>
            <w:vMerge w:val="continue"/>
            <w:noWrap w:val="0"/>
            <w:vAlign w:val="center"/>
          </w:tcPr>
          <w:p w14:paraId="6731CFB7">
            <w:pPr>
              <w:jc w:val="center"/>
              <w:rPr>
                <w:rFonts w:ascii="宋体" w:hAnsi="宋体"/>
                <w:szCs w:val="21"/>
              </w:rPr>
            </w:pPr>
          </w:p>
        </w:tc>
      </w:tr>
      <w:tr w14:paraId="1A7BBF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40" w:type="dxa"/>
            <w:vMerge w:val="restart"/>
            <w:noWrap w:val="0"/>
            <w:vAlign w:val="center"/>
          </w:tcPr>
          <w:p w14:paraId="3DF2B084">
            <w:pPr>
              <w:jc w:val="center"/>
              <w:rPr>
                <w:rFonts w:ascii="宋体" w:hAnsi="宋体"/>
                <w:szCs w:val="21"/>
              </w:rPr>
            </w:pPr>
            <w:r>
              <w:rPr>
                <w:rFonts w:hint="eastAsia" w:ascii="宋体" w:hAnsi="宋体"/>
                <w:szCs w:val="21"/>
              </w:rPr>
              <w:t>2.2.4（1）</w:t>
            </w:r>
          </w:p>
        </w:tc>
        <w:tc>
          <w:tcPr>
            <w:tcW w:w="1244" w:type="dxa"/>
            <w:gridSpan w:val="2"/>
            <w:vMerge w:val="restart"/>
            <w:noWrap w:val="0"/>
            <w:vAlign w:val="center"/>
          </w:tcPr>
          <w:p w14:paraId="69B56D71">
            <w:pPr>
              <w:jc w:val="center"/>
              <w:rPr>
                <w:rFonts w:ascii="宋体" w:hAnsi="宋体"/>
                <w:szCs w:val="21"/>
              </w:rPr>
            </w:pPr>
            <w:r>
              <w:rPr>
                <w:rFonts w:hint="eastAsia" w:ascii="宋体" w:hAnsi="宋体"/>
                <w:szCs w:val="21"/>
              </w:rPr>
              <w:t>技术建议书</w:t>
            </w:r>
          </w:p>
        </w:tc>
        <w:tc>
          <w:tcPr>
            <w:tcW w:w="1199" w:type="dxa"/>
            <w:vMerge w:val="restart"/>
            <w:noWrap w:val="0"/>
            <w:vAlign w:val="center"/>
          </w:tcPr>
          <w:p w14:paraId="7CC3A4D7">
            <w:pPr>
              <w:jc w:val="center"/>
              <w:rPr>
                <w:rFonts w:ascii="宋体" w:hAnsi="宋体"/>
                <w:szCs w:val="21"/>
              </w:rPr>
            </w:pPr>
            <w:r>
              <w:rPr>
                <w:rFonts w:hint="eastAsia" w:ascii="宋体" w:hAnsi="宋体"/>
                <w:szCs w:val="21"/>
              </w:rPr>
              <w:t xml:space="preserve"> 35 分</w:t>
            </w:r>
          </w:p>
        </w:tc>
        <w:tc>
          <w:tcPr>
            <w:tcW w:w="1443" w:type="dxa"/>
            <w:vMerge w:val="restart"/>
            <w:noWrap w:val="0"/>
            <w:vAlign w:val="center"/>
          </w:tcPr>
          <w:p w14:paraId="21BD1A63">
            <w:pPr>
              <w:ind w:right="113"/>
              <w:rPr>
                <w:rFonts w:ascii="宋体" w:hAnsi="宋体"/>
                <w:szCs w:val="21"/>
              </w:rPr>
            </w:pPr>
            <w:r>
              <w:rPr>
                <w:rFonts w:hint="eastAsia" w:ascii="宋体" w:hAnsi="宋体"/>
                <w:szCs w:val="21"/>
              </w:rPr>
              <w:t>监理大纲（或监理方案）和措施</w:t>
            </w:r>
          </w:p>
        </w:tc>
        <w:tc>
          <w:tcPr>
            <w:tcW w:w="1276" w:type="dxa"/>
            <w:vMerge w:val="restart"/>
            <w:noWrap w:val="0"/>
            <w:vAlign w:val="center"/>
          </w:tcPr>
          <w:p w14:paraId="1A674732">
            <w:pPr>
              <w:jc w:val="center"/>
              <w:rPr>
                <w:rFonts w:ascii="宋体" w:hAnsi="宋体"/>
                <w:szCs w:val="21"/>
              </w:rPr>
            </w:pPr>
            <w:r>
              <w:rPr>
                <w:rFonts w:hint="eastAsia" w:ascii="宋体" w:hAnsi="宋体"/>
                <w:szCs w:val="21"/>
                <w:u w:val="single"/>
              </w:rPr>
              <w:t xml:space="preserve">20 </w:t>
            </w:r>
            <w:r>
              <w:rPr>
                <w:rFonts w:hint="eastAsia" w:ascii="宋体" w:hAnsi="宋体"/>
                <w:szCs w:val="21"/>
              </w:rPr>
              <w:t>分</w:t>
            </w:r>
          </w:p>
        </w:tc>
        <w:tc>
          <w:tcPr>
            <w:tcW w:w="3090" w:type="dxa"/>
            <w:noWrap w:val="0"/>
            <w:vAlign w:val="center"/>
          </w:tcPr>
          <w:p w14:paraId="3B952BAA">
            <w:pPr>
              <w:spacing w:line="23" w:lineRule="atLeast"/>
              <w:rPr>
                <w:rFonts w:ascii="宋体" w:hAnsi="宋体"/>
                <w:szCs w:val="21"/>
              </w:rPr>
            </w:pPr>
            <w:r>
              <w:rPr>
                <w:rFonts w:hint="eastAsia" w:ascii="宋体" w:hAnsi="宋体"/>
                <w:szCs w:val="21"/>
              </w:rPr>
              <w:t>一般</w:t>
            </w:r>
            <w:r>
              <w:rPr>
                <w:rFonts w:ascii="宋体" w:hAnsi="宋体"/>
                <w:szCs w:val="21"/>
              </w:rPr>
              <w:t>得</w:t>
            </w:r>
            <w:r>
              <w:rPr>
                <w:rFonts w:hint="eastAsia" w:ascii="宋体" w:hAnsi="宋体"/>
                <w:szCs w:val="21"/>
              </w:rPr>
              <w:t>12-15分</w:t>
            </w:r>
          </w:p>
        </w:tc>
      </w:tr>
      <w:tr w14:paraId="1E3CFB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40" w:type="dxa"/>
            <w:vMerge w:val="continue"/>
            <w:noWrap w:val="0"/>
            <w:vAlign w:val="center"/>
          </w:tcPr>
          <w:p w14:paraId="6B353A67">
            <w:pPr>
              <w:jc w:val="center"/>
              <w:rPr>
                <w:rFonts w:hint="eastAsia" w:ascii="宋体" w:hAnsi="宋体"/>
                <w:szCs w:val="21"/>
              </w:rPr>
            </w:pPr>
          </w:p>
        </w:tc>
        <w:tc>
          <w:tcPr>
            <w:tcW w:w="1244" w:type="dxa"/>
            <w:gridSpan w:val="2"/>
            <w:vMerge w:val="continue"/>
            <w:noWrap w:val="0"/>
            <w:vAlign w:val="center"/>
          </w:tcPr>
          <w:p w14:paraId="166B53F9">
            <w:pPr>
              <w:jc w:val="center"/>
              <w:rPr>
                <w:rFonts w:hint="eastAsia" w:ascii="宋体" w:hAnsi="宋体"/>
                <w:szCs w:val="21"/>
              </w:rPr>
            </w:pPr>
          </w:p>
        </w:tc>
        <w:tc>
          <w:tcPr>
            <w:tcW w:w="1199" w:type="dxa"/>
            <w:vMerge w:val="continue"/>
            <w:noWrap w:val="0"/>
            <w:vAlign w:val="center"/>
          </w:tcPr>
          <w:p w14:paraId="225EEE8B">
            <w:pPr>
              <w:jc w:val="center"/>
              <w:rPr>
                <w:rFonts w:hint="eastAsia" w:ascii="宋体" w:hAnsi="宋体"/>
                <w:szCs w:val="21"/>
              </w:rPr>
            </w:pPr>
          </w:p>
        </w:tc>
        <w:tc>
          <w:tcPr>
            <w:tcW w:w="1443" w:type="dxa"/>
            <w:vMerge w:val="continue"/>
            <w:noWrap w:val="0"/>
            <w:vAlign w:val="center"/>
          </w:tcPr>
          <w:p w14:paraId="772C4AC9">
            <w:pPr>
              <w:ind w:right="113"/>
              <w:rPr>
                <w:rFonts w:hint="eastAsia" w:ascii="宋体" w:hAnsi="宋体"/>
                <w:szCs w:val="21"/>
              </w:rPr>
            </w:pPr>
          </w:p>
        </w:tc>
        <w:tc>
          <w:tcPr>
            <w:tcW w:w="1276" w:type="dxa"/>
            <w:vMerge w:val="continue"/>
            <w:noWrap w:val="0"/>
            <w:vAlign w:val="center"/>
          </w:tcPr>
          <w:p w14:paraId="0B73D6B0">
            <w:pPr>
              <w:rPr>
                <w:rFonts w:hint="eastAsia" w:ascii="宋体" w:hAnsi="宋体"/>
                <w:szCs w:val="21"/>
              </w:rPr>
            </w:pPr>
          </w:p>
        </w:tc>
        <w:tc>
          <w:tcPr>
            <w:tcW w:w="3090" w:type="dxa"/>
            <w:noWrap w:val="0"/>
            <w:vAlign w:val="center"/>
          </w:tcPr>
          <w:p w14:paraId="5CEED478">
            <w:pPr>
              <w:spacing w:line="23" w:lineRule="atLeast"/>
              <w:rPr>
                <w:rFonts w:ascii="宋体" w:hAnsi="宋体"/>
                <w:szCs w:val="21"/>
              </w:rPr>
            </w:pPr>
            <w:r>
              <w:rPr>
                <w:rFonts w:ascii="宋体" w:hAnsi="宋体"/>
                <w:szCs w:val="21"/>
              </w:rPr>
              <w:t>满意得</w:t>
            </w:r>
            <w:r>
              <w:rPr>
                <w:rFonts w:hint="eastAsia" w:ascii="宋体" w:hAnsi="宋体"/>
                <w:szCs w:val="21"/>
              </w:rPr>
              <w:t>15-20分</w:t>
            </w:r>
          </w:p>
        </w:tc>
      </w:tr>
      <w:tr w14:paraId="05740D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40" w:type="dxa"/>
            <w:vMerge w:val="continue"/>
            <w:noWrap w:val="0"/>
            <w:vAlign w:val="center"/>
          </w:tcPr>
          <w:p w14:paraId="612BCE17">
            <w:pPr>
              <w:jc w:val="center"/>
              <w:rPr>
                <w:rFonts w:ascii="宋体" w:hAnsi="宋体"/>
                <w:szCs w:val="21"/>
              </w:rPr>
            </w:pPr>
          </w:p>
        </w:tc>
        <w:tc>
          <w:tcPr>
            <w:tcW w:w="1244" w:type="dxa"/>
            <w:gridSpan w:val="2"/>
            <w:vMerge w:val="continue"/>
            <w:noWrap w:val="0"/>
            <w:vAlign w:val="center"/>
          </w:tcPr>
          <w:p w14:paraId="2D0C4BD9">
            <w:pPr>
              <w:jc w:val="center"/>
              <w:rPr>
                <w:rFonts w:ascii="宋体" w:hAnsi="宋体"/>
                <w:szCs w:val="21"/>
              </w:rPr>
            </w:pPr>
          </w:p>
        </w:tc>
        <w:tc>
          <w:tcPr>
            <w:tcW w:w="1199" w:type="dxa"/>
            <w:vMerge w:val="continue"/>
            <w:noWrap w:val="0"/>
            <w:vAlign w:val="center"/>
          </w:tcPr>
          <w:p w14:paraId="19C55FC9">
            <w:pPr>
              <w:jc w:val="center"/>
              <w:rPr>
                <w:rFonts w:ascii="宋体" w:hAnsi="宋体"/>
                <w:szCs w:val="21"/>
              </w:rPr>
            </w:pPr>
          </w:p>
        </w:tc>
        <w:tc>
          <w:tcPr>
            <w:tcW w:w="1443" w:type="dxa"/>
            <w:vMerge w:val="restart"/>
            <w:noWrap w:val="0"/>
            <w:vAlign w:val="center"/>
          </w:tcPr>
          <w:p w14:paraId="688D54AB">
            <w:pPr>
              <w:ind w:right="-46"/>
              <w:rPr>
                <w:rFonts w:ascii="宋体" w:hAnsi="宋体"/>
                <w:szCs w:val="21"/>
              </w:rPr>
            </w:pPr>
            <w:r>
              <w:rPr>
                <w:rFonts w:hint="eastAsia" w:ascii="宋体" w:hAnsi="宋体"/>
                <w:szCs w:val="21"/>
              </w:rPr>
              <w:t>本工程监理工作的重点与难点分析</w:t>
            </w:r>
          </w:p>
        </w:tc>
        <w:tc>
          <w:tcPr>
            <w:tcW w:w="1276" w:type="dxa"/>
            <w:vMerge w:val="restart"/>
            <w:noWrap w:val="0"/>
            <w:vAlign w:val="center"/>
          </w:tcPr>
          <w:p w14:paraId="57DB5FE5">
            <w:pPr>
              <w:adjustRightInd w:val="0"/>
              <w:snapToGrid w:val="0"/>
              <w:spacing w:before="48" w:beforeLines="20" w:after="48" w:afterLines="20"/>
              <w:jc w:val="center"/>
              <w:rPr>
                <w:rFonts w:ascii="宋体" w:hAnsi="宋体"/>
                <w:szCs w:val="22"/>
              </w:rPr>
            </w:pPr>
            <w:r>
              <w:rPr>
                <w:rFonts w:hint="eastAsia" w:ascii="宋体" w:hAnsi="宋体"/>
                <w:szCs w:val="21"/>
                <w:u w:val="single"/>
              </w:rPr>
              <w:t xml:space="preserve">10 </w:t>
            </w:r>
            <w:r>
              <w:rPr>
                <w:rFonts w:hint="eastAsia" w:ascii="宋体" w:hAnsi="宋体"/>
                <w:szCs w:val="21"/>
              </w:rPr>
              <w:t>分</w:t>
            </w:r>
          </w:p>
        </w:tc>
        <w:tc>
          <w:tcPr>
            <w:tcW w:w="3090" w:type="dxa"/>
            <w:noWrap w:val="0"/>
            <w:vAlign w:val="center"/>
          </w:tcPr>
          <w:p w14:paraId="230B81D6">
            <w:pPr>
              <w:spacing w:line="23" w:lineRule="atLeast"/>
              <w:rPr>
                <w:rFonts w:ascii="宋体" w:hAnsi="宋体"/>
                <w:szCs w:val="21"/>
              </w:rPr>
            </w:pPr>
            <w:r>
              <w:rPr>
                <w:rFonts w:hint="eastAsia" w:ascii="宋体" w:hAnsi="宋体"/>
                <w:szCs w:val="21"/>
              </w:rPr>
              <w:t>一般</w:t>
            </w:r>
            <w:r>
              <w:rPr>
                <w:rFonts w:ascii="宋体" w:hAnsi="宋体"/>
                <w:szCs w:val="21"/>
              </w:rPr>
              <w:t>得</w:t>
            </w:r>
            <w:r>
              <w:rPr>
                <w:rFonts w:hint="eastAsia" w:ascii="宋体" w:hAnsi="宋体"/>
                <w:szCs w:val="21"/>
              </w:rPr>
              <w:t>6-8分</w:t>
            </w:r>
          </w:p>
        </w:tc>
      </w:tr>
      <w:tr w14:paraId="1A27C1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40" w:type="dxa"/>
            <w:vMerge w:val="continue"/>
            <w:noWrap w:val="0"/>
            <w:vAlign w:val="center"/>
          </w:tcPr>
          <w:p w14:paraId="0508CA17">
            <w:pPr>
              <w:jc w:val="center"/>
              <w:rPr>
                <w:rFonts w:ascii="宋体" w:hAnsi="宋体"/>
                <w:szCs w:val="21"/>
              </w:rPr>
            </w:pPr>
          </w:p>
        </w:tc>
        <w:tc>
          <w:tcPr>
            <w:tcW w:w="1244" w:type="dxa"/>
            <w:gridSpan w:val="2"/>
            <w:vMerge w:val="continue"/>
            <w:noWrap w:val="0"/>
            <w:vAlign w:val="center"/>
          </w:tcPr>
          <w:p w14:paraId="0A39D498">
            <w:pPr>
              <w:jc w:val="center"/>
              <w:rPr>
                <w:rFonts w:ascii="宋体" w:hAnsi="宋体"/>
                <w:szCs w:val="21"/>
              </w:rPr>
            </w:pPr>
          </w:p>
        </w:tc>
        <w:tc>
          <w:tcPr>
            <w:tcW w:w="1199" w:type="dxa"/>
            <w:vMerge w:val="continue"/>
            <w:noWrap w:val="0"/>
            <w:vAlign w:val="center"/>
          </w:tcPr>
          <w:p w14:paraId="0650056D">
            <w:pPr>
              <w:jc w:val="center"/>
              <w:rPr>
                <w:rFonts w:ascii="宋体" w:hAnsi="宋体"/>
                <w:szCs w:val="21"/>
              </w:rPr>
            </w:pPr>
          </w:p>
        </w:tc>
        <w:tc>
          <w:tcPr>
            <w:tcW w:w="1443" w:type="dxa"/>
            <w:vMerge w:val="continue"/>
            <w:noWrap w:val="0"/>
            <w:vAlign w:val="center"/>
          </w:tcPr>
          <w:p w14:paraId="12EAEFCF">
            <w:pPr>
              <w:ind w:right="-46"/>
              <w:rPr>
                <w:rFonts w:hint="eastAsia" w:ascii="宋体" w:hAnsi="宋体"/>
                <w:szCs w:val="21"/>
              </w:rPr>
            </w:pPr>
          </w:p>
        </w:tc>
        <w:tc>
          <w:tcPr>
            <w:tcW w:w="1276" w:type="dxa"/>
            <w:vMerge w:val="continue"/>
            <w:noWrap w:val="0"/>
            <w:vAlign w:val="center"/>
          </w:tcPr>
          <w:p w14:paraId="389B8AFC">
            <w:pPr>
              <w:adjustRightInd w:val="0"/>
              <w:snapToGrid w:val="0"/>
              <w:spacing w:before="48" w:beforeLines="20" w:after="48" w:afterLines="20"/>
              <w:jc w:val="center"/>
              <w:rPr>
                <w:rFonts w:hint="eastAsia" w:ascii="宋体" w:hAnsi="宋体"/>
                <w:szCs w:val="22"/>
              </w:rPr>
            </w:pPr>
          </w:p>
        </w:tc>
        <w:tc>
          <w:tcPr>
            <w:tcW w:w="3090" w:type="dxa"/>
            <w:noWrap w:val="0"/>
            <w:vAlign w:val="center"/>
          </w:tcPr>
          <w:p w14:paraId="4FB0DD11">
            <w:pPr>
              <w:spacing w:line="23" w:lineRule="atLeast"/>
              <w:rPr>
                <w:rFonts w:ascii="宋体" w:hAnsi="宋体"/>
                <w:szCs w:val="21"/>
              </w:rPr>
            </w:pPr>
            <w:r>
              <w:rPr>
                <w:rFonts w:ascii="宋体" w:hAnsi="宋体"/>
                <w:szCs w:val="21"/>
              </w:rPr>
              <w:t>满意得</w:t>
            </w:r>
            <w:r>
              <w:rPr>
                <w:rFonts w:hint="eastAsia" w:ascii="宋体" w:hAnsi="宋体"/>
                <w:szCs w:val="21"/>
              </w:rPr>
              <w:t>8-10分</w:t>
            </w:r>
          </w:p>
        </w:tc>
      </w:tr>
      <w:tr w14:paraId="535AB1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40" w:type="dxa"/>
            <w:vMerge w:val="continue"/>
            <w:noWrap w:val="0"/>
            <w:vAlign w:val="center"/>
          </w:tcPr>
          <w:p w14:paraId="21A0E17A">
            <w:pPr>
              <w:jc w:val="center"/>
              <w:rPr>
                <w:rFonts w:ascii="宋体" w:hAnsi="宋体"/>
                <w:szCs w:val="21"/>
              </w:rPr>
            </w:pPr>
          </w:p>
        </w:tc>
        <w:tc>
          <w:tcPr>
            <w:tcW w:w="1244" w:type="dxa"/>
            <w:gridSpan w:val="2"/>
            <w:vMerge w:val="continue"/>
            <w:noWrap w:val="0"/>
            <w:vAlign w:val="center"/>
          </w:tcPr>
          <w:p w14:paraId="0AAB2EE6">
            <w:pPr>
              <w:jc w:val="center"/>
              <w:rPr>
                <w:rFonts w:ascii="宋体" w:hAnsi="宋体"/>
                <w:szCs w:val="21"/>
              </w:rPr>
            </w:pPr>
          </w:p>
        </w:tc>
        <w:tc>
          <w:tcPr>
            <w:tcW w:w="1199" w:type="dxa"/>
            <w:vMerge w:val="continue"/>
            <w:noWrap w:val="0"/>
            <w:vAlign w:val="center"/>
          </w:tcPr>
          <w:p w14:paraId="33304BED">
            <w:pPr>
              <w:jc w:val="center"/>
              <w:rPr>
                <w:rFonts w:ascii="宋体" w:hAnsi="宋体"/>
                <w:szCs w:val="21"/>
              </w:rPr>
            </w:pPr>
          </w:p>
        </w:tc>
        <w:tc>
          <w:tcPr>
            <w:tcW w:w="1443" w:type="dxa"/>
            <w:vMerge w:val="restart"/>
            <w:noWrap w:val="0"/>
            <w:vAlign w:val="center"/>
          </w:tcPr>
          <w:p w14:paraId="58BBD0D2">
            <w:pPr>
              <w:ind w:right="113"/>
              <w:rPr>
                <w:rFonts w:ascii="宋体" w:hAnsi="宋体"/>
                <w:szCs w:val="21"/>
              </w:rPr>
            </w:pPr>
            <w:r>
              <w:rPr>
                <w:rFonts w:hint="eastAsia" w:ascii="宋体" w:hAnsi="宋体"/>
                <w:szCs w:val="21"/>
              </w:rPr>
              <w:t>对本工程的建议</w:t>
            </w:r>
          </w:p>
        </w:tc>
        <w:tc>
          <w:tcPr>
            <w:tcW w:w="1276" w:type="dxa"/>
            <w:vMerge w:val="restart"/>
            <w:noWrap w:val="0"/>
            <w:vAlign w:val="center"/>
          </w:tcPr>
          <w:p w14:paraId="7514ED39">
            <w:pPr>
              <w:adjustRightInd w:val="0"/>
              <w:snapToGrid w:val="0"/>
              <w:spacing w:before="48" w:beforeLines="20" w:after="48" w:afterLines="20"/>
              <w:jc w:val="center"/>
              <w:rPr>
                <w:rFonts w:ascii="宋体" w:hAnsi="宋体"/>
                <w:szCs w:val="22"/>
              </w:rPr>
            </w:pPr>
            <w:r>
              <w:rPr>
                <w:rFonts w:hint="eastAsia" w:ascii="宋体" w:hAnsi="宋体"/>
                <w:szCs w:val="21"/>
                <w:u w:val="single"/>
              </w:rPr>
              <w:t xml:space="preserve">5 </w:t>
            </w:r>
            <w:r>
              <w:rPr>
                <w:rFonts w:hint="eastAsia" w:ascii="宋体" w:hAnsi="宋体"/>
                <w:szCs w:val="21"/>
              </w:rPr>
              <w:t>分</w:t>
            </w:r>
          </w:p>
        </w:tc>
        <w:tc>
          <w:tcPr>
            <w:tcW w:w="3090" w:type="dxa"/>
            <w:noWrap w:val="0"/>
            <w:vAlign w:val="center"/>
          </w:tcPr>
          <w:p w14:paraId="0CFB0C5A">
            <w:pPr>
              <w:spacing w:line="23" w:lineRule="atLeast"/>
              <w:rPr>
                <w:rFonts w:ascii="宋体" w:hAnsi="宋体"/>
                <w:szCs w:val="21"/>
              </w:rPr>
            </w:pPr>
            <w:r>
              <w:rPr>
                <w:rFonts w:hint="eastAsia" w:ascii="宋体" w:hAnsi="宋体"/>
                <w:szCs w:val="21"/>
              </w:rPr>
              <w:t>一般</w:t>
            </w:r>
            <w:r>
              <w:rPr>
                <w:rFonts w:ascii="宋体" w:hAnsi="宋体"/>
                <w:szCs w:val="21"/>
              </w:rPr>
              <w:t>得</w:t>
            </w:r>
            <w:r>
              <w:rPr>
                <w:rFonts w:hint="eastAsia" w:ascii="宋体" w:hAnsi="宋体"/>
                <w:szCs w:val="21"/>
              </w:rPr>
              <w:t>3-4分</w:t>
            </w:r>
          </w:p>
        </w:tc>
      </w:tr>
      <w:tr w14:paraId="5BD7B0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40" w:type="dxa"/>
            <w:vMerge w:val="continue"/>
            <w:noWrap w:val="0"/>
            <w:vAlign w:val="center"/>
          </w:tcPr>
          <w:p w14:paraId="0BB5FB4B">
            <w:pPr>
              <w:jc w:val="center"/>
              <w:rPr>
                <w:rFonts w:ascii="宋体" w:hAnsi="宋体"/>
                <w:szCs w:val="21"/>
              </w:rPr>
            </w:pPr>
          </w:p>
        </w:tc>
        <w:tc>
          <w:tcPr>
            <w:tcW w:w="1244" w:type="dxa"/>
            <w:gridSpan w:val="2"/>
            <w:vMerge w:val="continue"/>
            <w:noWrap w:val="0"/>
            <w:vAlign w:val="center"/>
          </w:tcPr>
          <w:p w14:paraId="34492A7E">
            <w:pPr>
              <w:jc w:val="center"/>
              <w:rPr>
                <w:rFonts w:ascii="宋体" w:hAnsi="宋体"/>
                <w:szCs w:val="21"/>
              </w:rPr>
            </w:pPr>
          </w:p>
        </w:tc>
        <w:tc>
          <w:tcPr>
            <w:tcW w:w="1199" w:type="dxa"/>
            <w:vMerge w:val="continue"/>
            <w:noWrap w:val="0"/>
            <w:vAlign w:val="center"/>
          </w:tcPr>
          <w:p w14:paraId="0CB7E19B">
            <w:pPr>
              <w:jc w:val="center"/>
              <w:rPr>
                <w:rFonts w:ascii="宋体" w:hAnsi="宋体"/>
                <w:szCs w:val="21"/>
              </w:rPr>
            </w:pPr>
          </w:p>
        </w:tc>
        <w:tc>
          <w:tcPr>
            <w:tcW w:w="1443" w:type="dxa"/>
            <w:vMerge w:val="continue"/>
            <w:noWrap w:val="0"/>
            <w:vAlign w:val="center"/>
          </w:tcPr>
          <w:p w14:paraId="281EB89F">
            <w:pPr>
              <w:ind w:right="113"/>
              <w:rPr>
                <w:rFonts w:hint="eastAsia" w:ascii="宋体" w:hAnsi="宋体"/>
                <w:szCs w:val="21"/>
              </w:rPr>
            </w:pPr>
          </w:p>
        </w:tc>
        <w:tc>
          <w:tcPr>
            <w:tcW w:w="1276" w:type="dxa"/>
            <w:vMerge w:val="continue"/>
            <w:noWrap w:val="0"/>
            <w:vAlign w:val="center"/>
          </w:tcPr>
          <w:p w14:paraId="38DB1C9F">
            <w:pPr>
              <w:adjustRightInd w:val="0"/>
              <w:snapToGrid w:val="0"/>
              <w:spacing w:before="48" w:beforeLines="20" w:after="48" w:afterLines="20"/>
              <w:jc w:val="center"/>
              <w:rPr>
                <w:rFonts w:hint="eastAsia" w:ascii="宋体" w:hAnsi="宋体"/>
                <w:szCs w:val="21"/>
                <w:u w:val="single"/>
              </w:rPr>
            </w:pPr>
          </w:p>
        </w:tc>
        <w:tc>
          <w:tcPr>
            <w:tcW w:w="3090" w:type="dxa"/>
            <w:noWrap w:val="0"/>
            <w:vAlign w:val="center"/>
          </w:tcPr>
          <w:p w14:paraId="4043ADC5">
            <w:pPr>
              <w:spacing w:line="23" w:lineRule="atLeast"/>
              <w:rPr>
                <w:rFonts w:ascii="宋体" w:hAnsi="宋体"/>
                <w:szCs w:val="21"/>
              </w:rPr>
            </w:pPr>
            <w:r>
              <w:rPr>
                <w:rFonts w:ascii="宋体" w:hAnsi="宋体"/>
                <w:szCs w:val="21"/>
              </w:rPr>
              <w:t>满意得</w:t>
            </w:r>
            <w:r>
              <w:rPr>
                <w:rFonts w:hint="eastAsia" w:ascii="宋体" w:hAnsi="宋体"/>
                <w:szCs w:val="21"/>
              </w:rPr>
              <w:t>4-5分</w:t>
            </w:r>
          </w:p>
        </w:tc>
      </w:tr>
      <w:tr w14:paraId="3AA68A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3" w:hRule="exact"/>
          <w:jc w:val="center"/>
        </w:trPr>
        <w:tc>
          <w:tcPr>
            <w:tcW w:w="940" w:type="dxa"/>
            <w:vMerge w:val="restart"/>
            <w:noWrap w:val="0"/>
            <w:vAlign w:val="center"/>
          </w:tcPr>
          <w:p w14:paraId="2C537C38">
            <w:pPr>
              <w:jc w:val="center"/>
              <w:rPr>
                <w:rFonts w:ascii="宋体" w:hAnsi="宋体"/>
                <w:szCs w:val="21"/>
              </w:rPr>
            </w:pPr>
            <w:r>
              <w:rPr>
                <w:rFonts w:hint="eastAsia" w:ascii="宋体" w:hAnsi="宋体"/>
                <w:szCs w:val="21"/>
              </w:rPr>
              <w:t>2.2.4（2）</w:t>
            </w:r>
          </w:p>
        </w:tc>
        <w:tc>
          <w:tcPr>
            <w:tcW w:w="1244" w:type="dxa"/>
            <w:gridSpan w:val="2"/>
            <w:vMerge w:val="restart"/>
            <w:noWrap w:val="0"/>
            <w:vAlign w:val="center"/>
          </w:tcPr>
          <w:p w14:paraId="08AEABF2">
            <w:pPr>
              <w:jc w:val="center"/>
              <w:rPr>
                <w:rFonts w:ascii="宋体" w:hAnsi="宋体"/>
                <w:szCs w:val="21"/>
              </w:rPr>
            </w:pPr>
            <w:r>
              <w:rPr>
                <w:rFonts w:hint="eastAsia" w:ascii="宋体" w:hAnsi="宋体"/>
                <w:szCs w:val="21"/>
              </w:rPr>
              <w:t>主要人员</w:t>
            </w:r>
          </w:p>
        </w:tc>
        <w:tc>
          <w:tcPr>
            <w:tcW w:w="1199" w:type="dxa"/>
            <w:vMerge w:val="restart"/>
            <w:noWrap w:val="0"/>
            <w:vAlign w:val="center"/>
          </w:tcPr>
          <w:p w14:paraId="28FED12D">
            <w:pPr>
              <w:jc w:val="center"/>
              <w:rPr>
                <w:rFonts w:ascii="宋体" w:hAnsi="宋体"/>
                <w:szCs w:val="21"/>
              </w:rPr>
            </w:pPr>
            <w:r>
              <w:rPr>
                <w:rFonts w:hint="eastAsia" w:ascii="宋体" w:hAnsi="宋体"/>
                <w:szCs w:val="21"/>
              </w:rPr>
              <w:t xml:space="preserve"> 25 分</w:t>
            </w:r>
          </w:p>
        </w:tc>
        <w:tc>
          <w:tcPr>
            <w:tcW w:w="1443" w:type="dxa"/>
            <w:vMerge w:val="restart"/>
            <w:noWrap w:val="0"/>
            <w:vAlign w:val="center"/>
          </w:tcPr>
          <w:p w14:paraId="5D2AEBBF">
            <w:pPr>
              <w:ind w:right="113"/>
              <w:rPr>
                <w:rFonts w:ascii="宋体" w:hAnsi="宋体"/>
                <w:szCs w:val="21"/>
              </w:rPr>
            </w:pPr>
            <w:r>
              <w:rPr>
                <w:rFonts w:hint="eastAsia" w:ascii="宋体" w:hAnsi="宋体"/>
                <w:szCs w:val="21"/>
              </w:rPr>
              <w:t>总监理工程师任职资格与业绩</w:t>
            </w:r>
          </w:p>
        </w:tc>
        <w:tc>
          <w:tcPr>
            <w:tcW w:w="1276" w:type="dxa"/>
            <w:noWrap w:val="0"/>
            <w:vAlign w:val="center"/>
          </w:tcPr>
          <w:p w14:paraId="4034DB36">
            <w:pPr>
              <w:jc w:val="center"/>
              <w:rPr>
                <w:rFonts w:ascii="宋体" w:hAnsi="宋体"/>
                <w:szCs w:val="21"/>
              </w:rPr>
            </w:pPr>
            <w:r>
              <w:rPr>
                <w:rFonts w:hint="eastAsia" w:ascii="宋体" w:hAnsi="宋体"/>
                <w:szCs w:val="21"/>
                <w:u w:val="single"/>
              </w:rPr>
              <w:t>15</w:t>
            </w:r>
            <w:r>
              <w:rPr>
                <w:rFonts w:hint="eastAsia" w:ascii="宋体" w:hAnsi="宋体"/>
                <w:szCs w:val="21"/>
              </w:rPr>
              <w:t>分</w:t>
            </w:r>
          </w:p>
        </w:tc>
        <w:tc>
          <w:tcPr>
            <w:tcW w:w="3090" w:type="dxa"/>
            <w:noWrap w:val="0"/>
            <w:vAlign w:val="center"/>
          </w:tcPr>
          <w:p w14:paraId="3E9BA4F0">
            <w:pPr>
              <w:jc w:val="left"/>
              <w:rPr>
                <w:rFonts w:ascii="宋体" w:hAnsi="宋体"/>
                <w:szCs w:val="21"/>
              </w:rPr>
            </w:pPr>
            <w:r>
              <w:rPr>
                <w:rFonts w:hint="eastAsia" w:ascii="宋体" w:hAnsi="宋体"/>
                <w:szCs w:val="21"/>
              </w:rPr>
              <w:t>满足最低资格审查条件得15分。</w:t>
            </w:r>
          </w:p>
        </w:tc>
      </w:tr>
      <w:tr w14:paraId="779AFE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57" w:hRule="exact"/>
          <w:jc w:val="center"/>
        </w:trPr>
        <w:tc>
          <w:tcPr>
            <w:tcW w:w="940" w:type="dxa"/>
            <w:vMerge w:val="continue"/>
            <w:noWrap w:val="0"/>
            <w:vAlign w:val="center"/>
          </w:tcPr>
          <w:p w14:paraId="4D50B39F">
            <w:pPr>
              <w:jc w:val="center"/>
              <w:rPr>
                <w:rFonts w:hint="eastAsia" w:ascii="宋体" w:hAnsi="宋体"/>
                <w:szCs w:val="21"/>
              </w:rPr>
            </w:pPr>
          </w:p>
        </w:tc>
        <w:tc>
          <w:tcPr>
            <w:tcW w:w="1244" w:type="dxa"/>
            <w:gridSpan w:val="2"/>
            <w:vMerge w:val="continue"/>
            <w:noWrap w:val="0"/>
            <w:vAlign w:val="center"/>
          </w:tcPr>
          <w:p w14:paraId="61342C88">
            <w:pPr>
              <w:jc w:val="center"/>
              <w:rPr>
                <w:rFonts w:hint="eastAsia" w:ascii="宋体" w:hAnsi="宋体"/>
                <w:szCs w:val="21"/>
              </w:rPr>
            </w:pPr>
          </w:p>
        </w:tc>
        <w:tc>
          <w:tcPr>
            <w:tcW w:w="1199" w:type="dxa"/>
            <w:vMerge w:val="continue"/>
            <w:noWrap w:val="0"/>
            <w:vAlign w:val="center"/>
          </w:tcPr>
          <w:p w14:paraId="7746495B">
            <w:pPr>
              <w:jc w:val="center"/>
              <w:rPr>
                <w:rFonts w:hint="eastAsia" w:ascii="宋体" w:hAnsi="宋体"/>
                <w:szCs w:val="21"/>
              </w:rPr>
            </w:pPr>
          </w:p>
        </w:tc>
        <w:tc>
          <w:tcPr>
            <w:tcW w:w="1443" w:type="dxa"/>
            <w:vMerge w:val="continue"/>
            <w:noWrap w:val="0"/>
            <w:vAlign w:val="center"/>
          </w:tcPr>
          <w:p w14:paraId="2D231069">
            <w:pPr>
              <w:ind w:right="113"/>
              <w:rPr>
                <w:rFonts w:hint="eastAsia" w:ascii="宋体" w:hAnsi="宋体"/>
                <w:szCs w:val="21"/>
              </w:rPr>
            </w:pPr>
          </w:p>
        </w:tc>
        <w:tc>
          <w:tcPr>
            <w:tcW w:w="1276" w:type="dxa"/>
            <w:noWrap w:val="0"/>
            <w:vAlign w:val="center"/>
          </w:tcPr>
          <w:p w14:paraId="5219EF7E">
            <w:pPr>
              <w:jc w:val="center"/>
              <w:rPr>
                <w:rFonts w:hint="eastAsia" w:ascii="宋体" w:hAnsi="宋体"/>
                <w:szCs w:val="21"/>
              </w:rPr>
            </w:pPr>
            <w:r>
              <w:rPr>
                <w:rFonts w:hint="eastAsia" w:ascii="宋体" w:hAnsi="宋体"/>
                <w:szCs w:val="21"/>
                <w:u w:val="single"/>
              </w:rPr>
              <w:t>10</w:t>
            </w:r>
            <w:r>
              <w:rPr>
                <w:rFonts w:hint="eastAsia" w:ascii="宋体" w:hAnsi="宋体"/>
                <w:szCs w:val="21"/>
              </w:rPr>
              <w:t>分</w:t>
            </w:r>
          </w:p>
        </w:tc>
        <w:tc>
          <w:tcPr>
            <w:tcW w:w="3090" w:type="dxa"/>
            <w:noWrap w:val="0"/>
            <w:vAlign w:val="center"/>
          </w:tcPr>
          <w:p w14:paraId="75342857">
            <w:pPr>
              <w:jc w:val="left"/>
              <w:rPr>
                <w:rFonts w:hint="eastAsia" w:ascii="宋体" w:hAnsi="宋体"/>
                <w:szCs w:val="21"/>
              </w:rPr>
            </w:pPr>
            <w:r>
              <w:rPr>
                <w:rFonts w:hint="eastAsia" w:ascii="宋体" w:hAnsi="宋体"/>
              </w:rPr>
              <w:t>担任过</w:t>
            </w:r>
            <w:r>
              <w:rPr>
                <w:rFonts w:hint="eastAsia" w:ascii="宋体" w:hAnsi="宋体"/>
                <w:szCs w:val="21"/>
              </w:rPr>
              <w:t>1项二级（含）以上公路工程的总监理工程师或驻地监理工程师任职经历加10分，最多加10分。</w:t>
            </w:r>
          </w:p>
        </w:tc>
      </w:tr>
      <w:tr w14:paraId="578207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76" w:hRule="exact"/>
          <w:jc w:val="center"/>
        </w:trPr>
        <w:tc>
          <w:tcPr>
            <w:tcW w:w="940" w:type="dxa"/>
            <w:noWrap w:val="0"/>
            <w:vAlign w:val="center"/>
          </w:tcPr>
          <w:p w14:paraId="760000DA">
            <w:pPr>
              <w:jc w:val="center"/>
              <w:rPr>
                <w:rFonts w:ascii="宋体" w:hAnsi="宋体"/>
                <w:szCs w:val="21"/>
              </w:rPr>
            </w:pPr>
            <w:r>
              <w:rPr>
                <w:rFonts w:hint="eastAsia" w:ascii="宋体" w:hAnsi="宋体"/>
                <w:szCs w:val="21"/>
              </w:rPr>
              <w:t>2.2.4（3）</w:t>
            </w:r>
          </w:p>
        </w:tc>
        <w:tc>
          <w:tcPr>
            <w:tcW w:w="1244" w:type="dxa"/>
            <w:gridSpan w:val="2"/>
            <w:noWrap w:val="0"/>
            <w:vAlign w:val="center"/>
          </w:tcPr>
          <w:p w14:paraId="0110FC4F">
            <w:pPr>
              <w:jc w:val="center"/>
              <w:rPr>
                <w:rFonts w:ascii="宋体" w:hAnsi="宋体"/>
                <w:szCs w:val="21"/>
              </w:rPr>
            </w:pPr>
            <w:r>
              <w:rPr>
                <w:rFonts w:hint="eastAsia" w:ascii="宋体" w:hAnsi="宋体"/>
                <w:szCs w:val="21"/>
              </w:rPr>
              <w:t>评标价</w:t>
            </w:r>
          </w:p>
        </w:tc>
        <w:tc>
          <w:tcPr>
            <w:tcW w:w="1199" w:type="dxa"/>
            <w:noWrap w:val="0"/>
            <w:vAlign w:val="center"/>
          </w:tcPr>
          <w:p w14:paraId="5DF39736">
            <w:pPr>
              <w:jc w:val="center"/>
              <w:rPr>
                <w:rFonts w:ascii="宋体" w:hAnsi="宋体"/>
                <w:szCs w:val="21"/>
              </w:rPr>
            </w:pPr>
            <w:r>
              <w:rPr>
                <w:rFonts w:hint="eastAsia" w:ascii="宋体" w:hAnsi="宋体"/>
                <w:szCs w:val="21"/>
              </w:rPr>
              <w:t xml:space="preserve"> 10 分</w:t>
            </w:r>
          </w:p>
        </w:tc>
        <w:tc>
          <w:tcPr>
            <w:tcW w:w="5809" w:type="dxa"/>
            <w:gridSpan w:val="3"/>
            <w:noWrap w:val="0"/>
            <w:vAlign w:val="center"/>
          </w:tcPr>
          <w:p w14:paraId="3ECB52C4">
            <w:pPr>
              <w:ind w:right="113"/>
              <w:rPr>
                <w:rFonts w:ascii="宋体" w:hAnsi="宋体"/>
                <w:szCs w:val="21"/>
              </w:rPr>
            </w:pPr>
            <w:r>
              <w:rPr>
                <w:rFonts w:hint="eastAsia" w:ascii="宋体" w:hAnsi="宋体"/>
                <w:szCs w:val="21"/>
              </w:rPr>
              <w:t>评标价得分计算公式示例：</w:t>
            </w:r>
          </w:p>
          <w:p w14:paraId="63F5FF27">
            <w:pPr>
              <w:ind w:right="113"/>
              <w:rPr>
                <w:rFonts w:ascii="宋体" w:hAnsi="宋体"/>
                <w:szCs w:val="21"/>
              </w:rPr>
            </w:pPr>
            <w:r>
              <w:rPr>
                <w:rFonts w:hint="eastAsia" w:ascii="宋体" w:hAnsi="宋体"/>
                <w:szCs w:val="21"/>
              </w:rPr>
              <w:t>（1）如果投标人的评标价&gt;评标基准价，则评标价得分＝F－偏差率×100×E</w:t>
            </w:r>
            <w:r>
              <w:rPr>
                <w:rFonts w:hint="eastAsia" w:ascii="宋体" w:hAnsi="宋体"/>
                <w:szCs w:val="21"/>
                <w:vertAlign w:val="subscript"/>
              </w:rPr>
              <w:t>1</w:t>
            </w:r>
            <w:r>
              <w:rPr>
                <w:rFonts w:hint="eastAsia" w:ascii="宋体" w:hAnsi="宋体"/>
                <w:szCs w:val="21"/>
              </w:rPr>
              <w:t>；</w:t>
            </w:r>
          </w:p>
          <w:p w14:paraId="7A59D0BF">
            <w:pPr>
              <w:ind w:right="113"/>
              <w:rPr>
                <w:rFonts w:ascii="宋体" w:hAnsi="宋体"/>
                <w:szCs w:val="21"/>
              </w:rPr>
            </w:pPr>
            <w:r>
              <w:rPr>
                <w:rFonts w:hint="eastAsia" w:ascii="宋体" w:hAnsi="宋体"/>
                <w:szCs w:val="21"/>
              </w:rPr>
              <w:t>（2）如果投标人的评标价≤评标基准价，则评标价得分＝F＋偏差率×100×E</w:t>
            </w:r>
            <w:r>
              <w:rPr>
                <w:rFonts w:hint="eastAsia" w:ascii="宋体" w:hAnsi="宋体"/>
                <w:szCs w:val="21"/>
                <w:vertAlign w:val="subscript"/>
              </w:rPr>
              <w:t>2</w:t>
            </w:r>
            <w:r>
              <w:rPr>
                <w:rFonts w:hint="eastAsia" w:ascii="宋体" w:hAnsi="宋体"/>
                <w:szCs w:val="21"/>
              </w:rPr>
              <w:t>。</w:t>
            </w:r>
          </w:p>
          <w:p w14:paraId="48B2161E">
            <w:pPr>
              <w:ind w:right="113"/>
              <w:rPr>
                <w:rFonts w:ascii="宋体" w:hAnsi="宋体"/>
                <w:szCs w:val="21"/>
              </w:rPr>
            </w:pPr>
            <w:r>
              <w:rPr>
                <w:rFonts w:hint="eastAsia" w:ascii="宋体" w:hAnsi="宋体"/>
                <w:szCs w:val="21"/>
              </w:rPr>
              <w:t>式中：F=10，E</w:t>
            </w:r>
            <w:r>
              <w:rPr>
                <w:rFonts w:hint="eastAsia" w:ascii="宋体" w:hAnsi="宋体"/>
                <w:szCs w:val="21"/>
                <w:vertAlign w:val="subscript"/>
              </w:rPr>
              <w:t>1</w:t>
            </w:r>
            <w:r>
              <w:rPr>
                <w:rFonts w:hint="eastAsia" w:ascii="宋体" w:hAnsi="宋体"/>
                <w:szCs w:val="21"/>
              </w:rPr>
              <w:t>=0.2，E</w:t>
            </w:r>
            <w:r>
              <w:rPr>
                <w:rFonts w:hint="eastAsia" w:ascii="宋体" w:hAnsi="宋体"/>
                <w:szCs w:val="21"/>
                <w:vertAlign w:val="subscript"/>
              </w:rPr>
              <w:t>2</w:t>
            </w:r>
            <w:r>
              <w:rPr>
                <w:rFonts w:hint="eastAsia" w:ascii="宋体" w:hAnsi="宋体"/>
                <w:szCs w:val="21"/>
              </w:rPr>
              <w:t>=0.1。</w:t>
            </w:r>
          </w:p>
          <w:p w14:paraId="3B6F4953">
            <w:pPr>
              <w:ind w:firstLine="420" w:firstLineChars="200"/>
              <w:jc w:val="left"/>
              <w:rPr>
                <w:rFonts w:ascii="宋体" w:hAnsi="宋体"/>
                <w:szCs w:val="21"/>
              </w:rPr>
            </w:pPr>
            <w:r>
              <w:rPr>
                <w:rFonts w:hint="eastAsia" w:ascii="宋体" w:hAnsi="宋体"/>
                <w:szCs w:val="21"/>
              </w:rPr>
              <w:t>其中：F是评标价所占的权重分值，E</w:t>
            </w:r>
            <w:r>
              <w:rPr>
                <w:rFonts w:hint="eastAsia" w:ascii="宋体" w:hAnsi="宋体"/>
                <w:szCs w:val="21"/>
                <w:vertAlign w:val="subscript"/>
              </w:rPr>
              <w:t>1</w:t>
            </w:r>
            <w:r>
              <w:rPr>
                <w:rFonts w:hint="eastAsia" w:ascii="宋体" w:hAnsi="宋体"/>
                <w:szCs w:val="21"/>
              </w:rPr>
              <w:t>是评标价每高于评标基准价一个百分点的扣分值，E</w:t>
            </w:r>
            <w:r>
              <w:rPr>
                <w:rFonts w:hint="eastAsia" w:ascii="宋体" w:hAnsi="宋体"/>
                <w:szCs w:val="21"/>
                <w:vertAlign w:val="subscript"/>
              </w:rPr>
              <w:t>2</w:t>
            </w:r>
            <w:r>
              <w:rPr>
                <w:rFonts w:hint="eastAsia" w:ascii="宋体" w:hAnsi="宋体"/>
                <w:szCs w:val="21"/>
              </w:rPr>
              <w:t>是评标价每低于评标基准价一个百分点的扣分值，评标价得分保留两位小数，小数点后第三位“四舍五入”。</w:t>
            </w:r>
          </w:p>
        </w:tc>
      </w:tr>
      <w:tr w14:paraId="176883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940" w:type="dxa"/>
            <w:vMerge w:val="restart"/>
            <w:noWrap w:val="0"/>
            <w:vAlign w:val="center"/>
          </w:tcPr>
          <w:p w14:paraId="4F85C46A">
            <w:pPr>
              <w:jc w:val="center"/>
              <w:rPr>
                <w:rFonts w:ascii="宋体" w:hAnsi="宋体"/>
                <w:szCs w:val="21"/>
              </w:rPr>
            </w:pPr>
            <w:r>
              <w:rPr>
                <w:rFonts w:hint="eastAsia" w:ascii="宋体" w:hAnsi="宋体"/>
                <w:szCs w:val="21"/>
              </w:rPr>
              <w:t>2.2.4（4）</w:t>
            </w:r>
          </w:p>
        </w:tc>
        <w:tc>
          <w:tcPr>
            <w:tcW w:w="645" w:type="dxa"/>
            <w:vMerge w:val="restart"/>
            <w:noWrap w:val="0"/>
            <w:vAlign w:val="center"/>
          </w:tcPr>
          <w:p w14:paraId="16DD75B8">
            <w:pPr>
              <w:jc w:val="center"/>
              <w:rPr>
                <w:rFonts w:ascii="宋体" w:hAnsi="宋体"/>
                <w:szCs w:val="21"/>
              </w:rPr>
            </w:pPr>
            <w:r>
              <w:rPr>
                <w:rFonts w:hint="eastAsia" w:ascii="宋体" w:hAnsi="宋体"/>
                <w:szCs w:val="21"/>
              </w:rPr>
              <w:t>其他因素</w:t>
            </w:r>
          </w:p>
        </w:tc>
        <w:tc>
          <w:tcPr>
            <w:tcW w:w="599" w:type="dxa"/>
            <w:vMerge w:val="restart"/>
            <w:noWrap w:val="0"/>
            <w:vAlign w:val="center"/>
          </w:tcPr>
          <w:p w14:paraId="29BA3681">
            <w:pPr>
              <w:jc w:val="center"/>
              <w:rPr>
                <w:rFonts w:ascii="宋体" w:hAnsi="宋体"/>
                <w:szCs w:val="21"/>
              </w:rPr>
            </w:pPr>
            <w:r>
              <w:rPr>
                <w:rFonts w:hint="eastAsia" w:ascii="宋体" w:hAnsi="宋体"/>
                <w:szCs w:val="21"/>
              </w:rPr>
              <w:t>业绩</w:t>
            </w:r>
          </w:p>
        </w:tc>
        <w:tc>
          <w:tcPr>
            <w:tcW w:w="1199" w:type="dxa"/>
            <w:vMerge w:val="restart"/>
            <w:noWrap w:val="0"/>
            <w:vAlign w:val="center"/>
          </w:tcPr>
          <w:p w14:paraId="67EC0DA7">
            <w:pPr>
              <w:jc w:val="center"/>
              <w:rPr>
                <w:rFonts w:ascii="宋体" w:hAnsi="宋体"/>
                <w:szCs w:val="21"/>
              </w:rPr>
            </w:pPr>
            <w:r>
              <w:rPr>
                <w:rFonts w:hint="eastAsia" w:ascii="宋体" w:hAnsi="宋体"/>
                <w:szCs w:val="21"/>
              </w:rPr>
              <w:t xml:space="preserve"> 20 分</w:t>
            </w:r>
          </w:p>
        </w:tc>
        <w:tc>
          <w:tcPr>
            <w:tcW w:w="1443" w:type="dxa"/>
            <w:vMerge w:val="restart"/>
            <w:noWrap w:val="0"/>
            <w:vAlign w:val="center"/>
          </w:tcPr>
          <w:p w14:paraId="35F7F9CD">
            <w:pPr>
              <w:ind w:right="113"/>
              <w:rPr>
                <w:rFonts w:ascii="宋体" w:hAnsi="宋体"/>
                <w:szCs w:val="21"/>
              </w:rPr>
            </w:pPr>
            <w:r>
              <w:rPr>
                <w:rFonts w:hint="eastAsia" w:ascii="宋体" w:hAnsi="宋体"/>
                <w:szCs w:val="21"/>
              </w:rPr>
              <w:t>近五年内2020年1月1日</w:t>
            </w:r>
            <w:r>
              <w:rPr>
                <w:rFonts w:hint="eastAsia" w:ascii="宋体" w:hAnsi="宋体" w:cs="宋体"/>
                <w:szCs w:val="21"/>
              </w:rPr>
              <w:t>至投标截止时间</w:t>
            </w:r>
            <w:r>
              <w:rPr>
                <w:rFonts w:hint="eastAsia" w:ascii="宋体" w:hAnsi="宋体"/>
                <w:szCs w:val="21"/>
              </w:rPr>
              <w:t>（两阶段验收工程以交工时间为准，一阶段验收工程以交工或竣工时间为准）业绩</w:t>
            </w:r>
          </w:p>
        </w:tc>
        <w:tc>
          <w:tcPr>
            <w:tcW w:w="1276" w:type="dxa"/>
            <w:noWrap w:val="0"/>
            <w:vAlign w:val="center"/>
          </w:tcPr>
          <w:p w14:paraId="79AD28DF">
            <w:pPr>
              <w:jc w:val="center"/>
              <w:rPr>
                <w:rFonts w:ascii="宋体" w:hAnsi="宋体"/>
                <w:szCs w:val="21"/>
              </w:rPr>
            </w:pPr>
            <w:r>
              <w:rPr>
                <w:rFonts w:hint="eastAsia" w:ascii="宋体" w:hAnsi="宋体"/>
                <w:szCs w:val="21"/>
                <w:u w:val="single"/>
              </w:rPr>
              <w:t>12</w:t>
            </w:r>
            <w:r>
              <w:rPr>
                <w:rFonts w:hint="eastAsia" w:ascii="宋体" w:hAnsi="宋体"/>
                <w:szCs w:val="21"/>
              </w:rPr>
              <w:t>分</w:t>
            </w:r>
          </w:p>
        </w:tc>
        <w:tc>
          <w:tcPr>
            <w:tcW w:w="3090" w:type="dxa"/>
            <w:noWrap w:val="0"/>
            <w:vAlign w:val="center"/>
          </w:tcPr>
          <w:p w14:paraId="6805A7D3">
            <w:pPr>
              <w:jc w:val="left"/>
              <w:rPr>
                <w:rFonts w:hint="eastAsia" w:ascii="楷体" w:hAnsi="楷体" w:eastAsia="楷体"/>
                <w:color w:val="4472C4"/>
                <w:szCs w:val="21"/>
              </w:rPr>
            </w:pPr>
            <w:r>
              <w:rPr>
                <w:rFonts w:hint="eastAsia" w:ascii="宋体" w:hAnsi="宋体"/>
                <w:szCs w:val="21"/>
              </w:rPr>
              <w:t>满足最低资格审查条件得12分。</w:t>
            </w:r>
          </w:p>
        </w:tc>
      </w:tr>
      <w:tr w14:paraId="4EA6F8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76" w:hRule="atLeast"/>
          <w:jc w:val="center"/>
        </w:trPr>
        <w:tc>
          <w:tcPr>
            <w:tcW w:w="940" w:type="dxa"/>
            <w:vMerge w:val="continue"/>
            <w:noWrap w:val="0"/>
            <w:vAlign w:val="center"/>
          </w:tcPr>
          <w:p w14:paraId="67244F2F">
            <w:pPr>
              <w:jc w:val="center"/>
              <w:rPr>
                <w:rFonts w:hint="eastAsia" w:ascii="宋体" w:hAnsi="宋体"/>
                <w:szCs w:val="21"/>
              </w:rPr>
            </w:pPr>
          </w:p>
        </w:tc>
        <w:tc>
          <w:tcPr>
            <w:tcW w:w="645" w:type="dxa"/>
            <w:vMerge w:val="continue"/>
            <w:noWrap w:val="0"/>
            <w:vAlign w:val="center"/>
          </w:tcPr>
          <w:p w14:paraId="59EC517A">
            <w:pPr>
              <w:jc w:val="center"/>
              <w:rPr>
                <w:rFonts w:hint="eastAsia" w:ascii="宋体" w:hAnsi="宋体"/>
                <w:szCs w:val="21"/>
              </w:rPr>
            </w:pPr>
          </w:p>
        </w:tc>
        <w:tc>
          <w:tcPr>
            <w:tcW w:w="599" w:type="dxa"/>
            <w:vMerge w:val="continue"/>
            <w:noWrap w:val="0"/>
            <w:vAlign w:val="center"/>
          </w:tcPr>
          <w:p w14:paraId="61B602DD">
            <w:pPr>
              <w:jc w:val="center"/>
              <w:rPr>
                <w:rFonts w:hint="eastAsia" w:ascii="宋体" w:hAnsi="宋体"/>
                <w:szCs w:val="21"/>
              </w:rPr>
            </w:pPr>
          </w:p>
        </w:tc>
        <w:tc>
          <w:tcPr>
            <w:tcW w:w="1199" w:type="dxa"/>
            <w:vMerge w:val="continue"/>
            <w:noWrap w:val="0"/>
            <w:vAlign w:val="center"/>
          </w:tcPr>
          <w:p w14:paraId="70CA8F09">
            <w:pPr>
              <w:jc w:val="center"/>
              <w:rPr>
                <w:rFonts w:hint="eastAsia" w:ascii="宋体" w:hAnsi="宋体"/>
                <w:szCs w:val="21"/>
              </w:rPr>
            </w:pPr>
          </w:p>
        </w:tc>
        <w:tc>
          <w:tcPr>
            <w:tcW w:w="1443" w:type="dxa"/>
            <w:vMerge w:val="continue"/>
            <w:noWrap w:val="0"/>
            <w:vAlign w:val="center"/>
          </w:tcPr>
          <w:p w14:paraId="7C5E21CF">
            <w:pPr>
              <w:ind w:right="113"/>
              <w:rPr>
                <w:rFonts w:hint="eastAsia" w:ascii="宋体" w:hAnsi="宋体"/>
                <w:szCs w:val="21"/>
              </w:rPr>
            </w:pPr>
          </w:p>
        </w:tc>
        <w:tc>
          <w:tcPr>
            <w:tcW w:w="1276" w:type="dxa"/>
            <w:noWrap w:val="0"/>
            <w:vAlign w:val="center"/>
          </w:tcPr>
          <w:p w14:paraId="4565773A">
            <w:pPr>
              <w:jc w:val="center"/>
              <w:rPr>
                <w:rFonts w:ascii="宋体" w:hAnsi="宋体"/>
                <w:szCs w:val="21"/>
              </w:rPr>
            </w:pPr>
            <w:r>
              <w:rPr>
                <w:rFonts w:hint="eastAsia" w:ascii="宋体" w:hAnsi="宋体"/>
                <w:szCs w:val="21"/>
                <w:u w:val="single"/>
              </w:rPr>
              <w:t>8</w:t>
            </w:r>
            <w:r>
              <w:rPr>
                <w:rFonts w:hint="eastAsia" w:ascii="宋体" w:hAnsi="宋体"/>
                <w:szCs w:val="21"/>
              </w:rPr>
              <w:t>分</w:t>
            </w:r>
          </w:p>
        </w:tc>
        <w:tc>
          <w:tcPr>
            <w:tcW w:w="3090" w:type="dxa"/>
            <w:noWrap w:val="0"/>
            <w:vAlign w:val="center"/>
          </w:tcPr>
          <w:p w14:paraId="53CCA8E9">
            <w:pPr>
              <w:jc w:val="left"/>
              <w:rPr>
                <w:rFonts w:hint="eastAsia" w:ascii="宋体" w:hAnsi="宋体" w:cs="宋体"/>
                <w:szCs w:val="21"/>
              </w:rPr>
            </w:pPr>
            <w:r>
              <w:rPr>
                <w:rFonts w:hint="eastAsia" w:ascii="宋体" w:hAnsi="宋体" w:cs="宋体"/>
                <w:szCs w:val="21"/>
              </w:rPr>
              <w:t>2020年1月1日至投标截止时间</w:t>
            </w:r>
            <w:r>
              <w:rPr>
                <w:rFonts w:hint="eastAsia" w:hAnsi="宋体" w:cs="宋体"/>
              </w:rPr>
              <w:t>（</w:t>
            </w:r>
            <w:r>
              <w:rPr>
                <w:rFonts w:hint="eastAsia" w:hAnsi="宋体"/>
              </w:rPr>
              <w:t>两阶段验收工程以交工时间为准，一阶段验收工程以交工或竣工时间为准</w:t>
            </w:r>
            <w:r>
              <w:rPr>
                <w:rFonts w:hint="eastAsia" w:hAnsi="宋体" w:cs="宋体"/>
              </w:rPr>
              <w:t>）</w:t>
            </w:r>
            <w:r>
              <w:rPr>
                <w:rFonts w:hint="eastAsia" w:ascii="宋体" w:hAnsi="宋体" w:cs="宋体"/>
                <w:szCs w:val="21"/>
              </w:rPr>
              <w:t>累计完成10公里及以上二级或二级以上公路施工监理业绩得8分，0～10公里得分在0～8分之间内插计算。</w:t>
            </w:r>
          </w:p>
        </w:tc>
      </w:tr>
      <w:tr w14:paraId="0C971C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40" w:type="dxa"/>
            <w:vMerge w:val="continue"/>
            <w:noWrap w:val="0"/>
            <w:vAlign w:val="center"/>
          </w:tcPr>
          <w:p w14:paraId="0CC20215">
            <w:pPr>
              <w:jc w:val="center"/>
              <w:rPr>
                <w:rFonts w:ascii="宋体" w:hAnsi="宋体"/>
                <w:szCs w:val="21"/>
              </w:rPr>
            </w:pPr>
          </w:p>
        </w:tc>
        <w:tc>
          <w:tcPr>
            <w:tcW w:w="645" w:type="dxa"/>
            <w:vMerge w:val="continue"/>
            <w:noWrap w:val="0"/>
            <w:vAlign w:val="center"/>
          </w:tcPr>
          <w:p w14:paraId="3AEE4123">
            <w:pPr>
              <w:jc w:val="center"/>
              <w:rPr>
                <w:rFonts w:ascii="宋体" w:hAnsi="宋体"/>
                <w:szCs w:val="21"/>
              </w:rPr>
            </w:pPr>
          </w:p>
        </w:tc>
        <w:tc>
          <w:tcPr>
            <w:tcW w:w="599" w:type="dxa"/>
            <w:vMerge w:val="restart"/>
            <w:noWrap w:val="0"/>
            <w:vAlign w:val="center"/>
          </w:tcPr>
          <w:p w14:paraId="194CE9DC">
            <w:pPr>
              <w:jc w:val="center"/>
              <w:rPr>
                <w:rFonts w:ascii="宋体" w:hAnsi="宋体"/>
                <w:szCs w:val="21"/>
              </w:rPr>
            </w:pPr>
            <w:r>
              <w:rPr>
                <w:rFonts w:hint="eastAsia" w:ascii="宋体" w:hAnsi="宋体"/>
                <w:szCs w:val="21"/>
              </w:rPr>
              <w:t>履约信誉</w:t>
            </w:r>
          </w:p>
        </w:tc>
        <w:tc>
          <w:tcPr>
            <w:tcW w:w="1199" w:type="dxa"/>
            <w:vMerge w:val="restart"/>
            <w:noWrap w:val="0"/>
            <w:vAlign w:val="center"/>
          </w:tcPr>
          <w:p w14:paraId="20AAC26F">
            <w:pPr>
              <w:jc w:val="center"/>
              <w:rPr>
                <w:rFonts w:ascii="宋体" w:hAnsi="宋体"/>
                <w:szCs w:val="21"/>
              </w:rPr>
            </w:pPr>
            <w:r>
              <w:rPr>
                <w:rFonts w:hint="eastAsia" w:ascii="宋体" w:hAnsi="宋体"/>
                <w:szCs w:val="21"/>
              </w:rPr>
              <w:t xml:space="preserve"> 10 分</w:t>
            </w:r>
          </w:p>
        </w:tc>
        <w:tc>
          <w:tcPr>
            <w:tcW w:w="1443" w:type="dxa"/>
            <w:vMerge w:val="restart"/>
            <w:noWrap w:val="0"/>
            <w:vAlign w:val="center"/>
          </w:tcPr>
          <w:p w14:paraId="77251B64">
            <w:pPr>
              <w:ind w:left="113" w:right="113" w:firstLine="4" w:firstLineChars="2"/>
              <w:jc w:val="center"/>
              <w:rPr>
                <w:rFonts w:ascii="宋体" w:hAnsi="宋体"/>
                <w:szCs w:val="21"/>
              </w:rPr>
            </w:pPr>
            <w:r>
              <w:rPr>
                <w:rFonts w:hint="eastAsia" w:ascii="宋体" w:hAnsi="宋体"/>
                <w:szCs w:val="21"/>
              </w:rPr>
              <w:t>信用评价</w:t>
            </w:r>
          </w:p>
        </w:tc>
        <w:tc>
          <w:tcPr>
            <w:tcW w:w="1276" w:type="dxa"/>
            <w:tcBorders>
              <w:top w:val="single" w:color="auto" w:sz="4" w:space="0"/>
              <w:bottom w:val="single" w:color="auto" w:sz="4" w:space="0"/>
            </w:tcBorders>
            <w:noWrap w:val="0"/>
            <w:vAlign w:val="center"/>
          </w:tcPr>
          <w:p w14:paraId="30879057">
            <w:pPr>
              <w:jc w:val="center"/>
              <w:rPr>
                <w:rFonts w:ascii="宋体" w:hAnsi="宋体"/>
                <w:szCs w:val="21"/>
              </w:rPr>
            </w:pPr>
            <w:r>
              <w:rPr>
                <w:rFonts w:hint="eastAsia" w:ascii="宋体" w:hAnsi="宋体"/>
                <w:szCs w:val="21"/>
                <w:u w:val="single"/>
              </w:rPr>
              <w:t>10</w:t>
            </w:r>
            <w:r>
              <w:rPr>
                <w:rFonts w:hint="eastAsia" w:ascii="宋体" w:hAnsi="宋体"/>
                <w:szCs w:val="21"/>
              </w:rPr>
              <w:t>分</w:t>
            </w:r>
          </w:p>
        </w:tc>
        <w:tc>
          <w:tcPr>
            <w:tcW w:w="3090" w:type="dxa"/>
            <w:tcBorders>
              <w:bottom w:val="single" w:color="auto" w:sz="4" w:space="0"/>
            </w:tcBorders>
            <w:noWrap w:val="0"/>
            <w:vAlign w:val="center"/>
          </w:tcPr>
          <w:p w14:paraId="18E1AD54">
            <w:pPr>
              <w:adjustRightInd w:val="0"/>
              <w:snapToGrid w:val="0"/>
              <w:spacing w:before="48" w:beforeLines="20" w:after="48" w:afterLines="20"/>
              <w:jc w:val="left"/>
              <w:rPr>
                <w:rFonts w:ascii="宋体" w:hAnsi="宋体"/>
                <w:szCs w:val="21"/>
              </w:rPr>
            </w:pPr>
            <w:r>
              <w:rPr>
                <w:rFonts w:hint="eastAsia" w:ascii="宋体" w:hAnsi="宋体"/>
                <w:szCs w:val="21"/>
              </w:rPr>
              <w:t>信用评价AA级</w:t>
            </w:r>
          </w:p>
        </w:tc>
      </w:tr>
      <w:tr w14:paraId="05BED4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40" w:type="dxa"/>
            <w:vMerge w:val="continue"/>
            <w:noWrap w:val="0"/>
            <w:vAlign w:val="center"/>
          </w:tcPr>
          <w:p w14:paraId="2555B3D5">
            <w:pPr>
              <w:jc w:val="center"/>
              <w:rPr>
                <w:rFonts w:ascii="宋体" w:hAnsi="宋体"/>
                <w:szCs w:val="21"/>
              </w:rPr>
            </w:pPr>
          </w:p>
        </w:tc>
        <w:tc>
          <w:tcPr>
            <w:tcW w:w="645" w:type="dxa"/>
            <w:vMerge w:val="continue"/>
            <w:noWrap w:val="0"/>
            <w:vAlign w:val="center"/>
          </w:tcPr>
          <w:p w14:paraId="54D2506A">
            <w:pPr>
              <w:jc w:val="center"/>
              <w:rPr>
                <w:rFonts w:ascii="宋体" w:hAnsi="宋体"/>
                <w:szCs w:val="21"/>
              </w:rPr>
            </w:pPr>
          </w:p>
        </w:tc>
        <w:tc>
          <w:tcPr>
            <w:tcW w:w="599" w:type="dxa"/>
            <w:vMerge w:val="continue"/>
            <w:noWrap w:val="0"/>
            <w:vAlign w:val="center"/>
          </w:tcPr>
          <w:p w14:paraId="3BAA31D5">
            <w:pPr>
              <w:jc w:val="center"/>
              <w:rPr>
                <w:rFonts w:hint="eastAsia" w:ascii="宋体" w:hAnsi="宋体"/>
                <w:szCs w:val="21"/>
              </w:rPr>
            </w:pPr>
          </w:p>
        </w:tc>
        <w:tc>
          <w:tcPr>
            <w:tcW w:w="1199" w:type="dxa"/>
            <w:vMerge w:val="continue"/>
            <w:noWrap w:val="0"/>
            <w:vAlign w:val="center"/>
          </w:tcPr>
          <w:p w14:paraId="7DD4E03D">
            <w:pPr>
              <w:jc w:val="center"/>
              <w:rPr>
                <w:rFonts w:hint="eastAsia" w:ascii="宋体" w:hAnsi="宋体"/>
                <w:szCs w:val="21"/>
              </w:rPr>
            </w:pPr>
          </w:p>
        </w:tc>
        <w:tc>
          <w:tcPr>
            <w:tcW w:w="1443" w:type="dxa"/>
            <w:vMerge w:val="continue"/>
            <w:noWrap w:val="0"/>
            <w:vAlign w:val="center"/>
          </w:tcPr>
          <w:p w14:paraId="4DF60806">
            <w:pPr>
              <w:ind w:left="113" w:right="113" w:firstLine="4" w:firstLineChars="2"/>
              <w:jc w:val="center"/>
              <w:rPr>
                <w:rFonts w:hint="eastAsia" w:ascii="宋体" w:hAnsi="宋体"/>
                <w:szCs w:val="21"/>
              </w:rPr>
            </w:pPr>
          </w:p>
        </w:tc>
        <w:tc>
          <w:tcPr>
            <w:tcW w:w="1276" w:type="dxa"/>
            <w:tcBorders>
              <w:top w:val="single" w:color="auto" w:sz="4" w:space="0"/>
              <w:bottom w:val="single" w:color="auto" w:sz="4" w:space="0"/>
            </w:tcBorders>
            <w:noWrap w:val="0"/>
            <w:vAlign w:val="center"/>
          </w:tcPr>
          <w:p w14:paraId="0E50F851">
            <w:pPr>
              <w:jc w:val="center"/>
              <w:rPr>
                <w:rFonts w:hint="eastAsia" w:ascii="宋体" w:hAnsi="宋体"/>
                <w:szCs w:val="21"/>
              </w:rPr>
            </w:pPr>
            <w:r>
              <w:rPr>
                <w:rFonts w:hint="eastAsia" w:ascii="宋体" w:hAnsi="宋体"/>
                <w:szCs w:val="21"/>
                <w:u w:val="single"/>
              </w:rPr>
              <w:t>8</w:t>
            </w:r>
            <w:r>
              <w:rPr>
                <w:rFonts w:hint="eastAsia" w:ascii="宋体" w:hAnsi="宋体"/>
                <w:szCs w:val="21"/>
              </w:rPr>
              <w:t>分</w:t>
            </w:r>
          </w:p>
        </w:tc>
        <w:tc>
          <w:tcPr>
            <w:tcW w:w="3090" w:type="dxa"/>
            <w:tcBorders>
              <w:bottom w:val="single" w:color="auto" w:sz="4" w:space="0"/>
            </w:tcBorders>
            <w:noWrap w:val="0"/>
            <w:vAlign w:val="center"/>
          </w:tcPr>
          <w:p w14:paraId="5FF51190">
            <w:pPr>
              <w:adjustRightInd w:val="0"/>
              <w:snapToGrid w:val="0"/>
              <w:spacing w:before="48" w:beforeLines="20" w:after="48" w:afterLines="20"/>
              <w:jc w:val="left"/>
              <w:rPr>
                <w:rFonts w:hint="eastAsia" w:ascii="宋体" w:hAnsi="宋体"/>
                <w:szCs w:val="21"/>
              </w:rPr>
            </w:pPr>
            <w:r>
              <w:rPr>
                <w:rFonts w:hint="eastAsia" w:ascii="宋体" w:hAnsi="宋体"/>
                <w:szCs w:val="21"/>
              </w:rPr>
              <w:t>信用评价A级</w:t>
            </w:r>
          </w:p>
        </w:tc>
      </w:tr>
      <w:tr w14:paraId="2467AC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40" w:type="dxa"/>
            <w:vMerge w:val="continue"/>
            <w:noWrap w:val="0"/>
            <w:vAlign w:val="center"/>
          </w:tcPr>
          <w:p w14:paraId="4A333871">
            <w:pPr>
              <w:jc w:val="center"/>
              <w:rPr>
                <w:rFonts w:ascii="宋体" w:hAnsi="宋体"/>
                <w:szCs w:val="21"/>
              </w:rPr>
            </w:pPr>
          </w:p>
        </w:tc>
        <w:tc>
          <w:tcPr>
            <w:tcW w:w="645" w:type="dxa"/>
            <w:vMerge w:val="continue"/>
            <w:noWrap w:val="0"/>
            <w:vAlign w:val="center"/>
          </w:tcPr>
          <w:p w14:paraId="3EC1ACE7">
            <w:pPr>
              <w:jc w:val="center"/>
              <w:rPr>
                <w:rFonts w:ascii="宋体" w:hAnsi="宋体"/>
                <w:szCs w:val="21"/>
              </w:rPr>
            </w:pPr>
          </w:p>
        </w:tc>
        <w:tc>
          <w:tcPr>
            <w:tcW w:w="599" w:type="dxa"/>
            <w:vMerge w:val="continue"/>
            <w:noWrap w:val="0"/>
            <w:vAlign w:val="center"/>
          </w:tcPr>
          <w:p w14:paraId="678587FD">
            <w:pPr>
              <w:jc w:val="center"/>
              <w:rPr>
                <w:rFonts w:hint="eastAsia" w:ascii="宋体" w:hAnsi="宋体"/>
                <w:szCs w:val="21"/>
              </w:rPr>
            </w:pPr>
          </w:p>
        </w:tc>
        <w:tc>
          <w:tcPr>
            <w:tcW w:w="1199" w:type="dxa"/>
            <w:vMerge w:val="continue"/>
            <w:noWrap w:val="0"/>
            <w:vAlign w:val="center"/>
          </w:tcPr>
          <w:p w14:paraId="78DF635B">
            <w:pPr>
              <w:jc w:val="center"/>
              <w:rPr>
                <w:rFonts w:hint="eastAsia" w:ascii="宋体" w:hAnsi="宋体"/>
                <w:szCs w:val="21"/>
              </w:rPr>
            </w:pPr>
          </w:p>
        </w:tc>
        <w:tc>
          <w:tcPr>
            <w:tcW w:w="1443" w:type="dxa"/>
            <w:vMerge w:val="continue"/>
            <w:noWrap w:val="0"/>
            <w:vAlign w:val="center"/>
          </w:tcPr>
          <w:p w14:paraId="546B8F19">
            <w:pPr>
              <w:ind w:left="113" w:right="113" w:firstLine="4" w:firstLineChars="2"/>
              <w:jc w:val="center"/>
              <w:rPr>
                <w:rFonts w:hint="eastAsia" w:ascii="宋体" w:hAnsi="宋体"/>
                <w:szCs w:val="21"/>
              </w:rPr>
            </w:pPr>
          </w:p>
        </w:tc>
        <w:tc>
          <w:tcPr>
            <w:tcW w:w="1276" w:type="dxa"/>
            <w:tcBorders>
              <w:top w:val="single" w:color="auto" w:sz="4" w:space="0"/>
              <w:bottom w:val="single" w:color="auto" w:sz="4" w:space="0"/>
            </w:tcBorders>
            <w:noWrap w:val="0"/>
            <w:vAlign w:val="center"/>
          </w:tcPr>
          <w:p w14:paraId="2AD2AE3B">
            <w:pPr>
              <w:jc w:val="center"/>
              <w:rPr>
                <w:rFonts w:hint="eastAsia" w:ascii="宋体" w:hAnsi="宋体"/>
                <w:szCs w:val="21"/>
              </w:rPr>
            </w:pPr>
            <w:r>
              <w:rPr>
                <w:rFonts w:hint="eastAsia" w:ascii="宋体" w:hAnsi="宋体"/>
                <w:szCs w:val="21"/>
                <w:u w:val="single"/>
              </w:rPr>
              <w:t>6</w:t>
            </w:r>
            <w:r>
              <w:rPr>
                <w:rFonts w:hint="eastAsia" w:ascii="宋体" w:hAnsi="宋体"/>
                <w:szCs w:val="21"/>
              </w:rPr>
              <w:t>分</w:t>
            </w:r>
          </w:p>
        </w:tc>
        <w:tc>
          <w:tcPr>
            <w:tcW w:w="3090" w:type="dxa"/>
            <w:tcBorders>
              <w:bottom w:val="single" w:color="auto" w:sz="4" w:space="0"/>
            </w:tcBorders>
            <w:noWrap w:val="0"/>
            <w:vAlign w:val="center"/>
          </w:tcPr>
          <w:p w14:paraId="432C1FA7">
            <w:pPr>
              <w:adjustRightInd w:val="0"/>
              <w:snapToGrid w:val="0"/>
              <w:spacing w:before="48" w:beforeLines="20" w:after="48" w:afterLines="20"/>
              <w:jc w:val="left"/>
              <w:rPr>
                <w:rFonts w:hint="eastAsia" w:ascii="宋体" w:hAnsi="宋体"/>
                <w:szCs w:val="21"/>
              </w:rPr>
            </w:pPr>
            <w:r>
              <w:rPr>
                <w:rFonts w:hint="eastAsia" w:ascii="宋体" w:hAnsi="宋体"/>
                <w:szCs w:val="21"/>
              </w:rPr>
              <w:t>信用评价B 级</w:t>
            </w:r>
          </w:p>
        </w:tc>
      </w:tr>
      <w:tr w14:paraId="638695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40" w:type="dxa"/>
            <w:vMerge w:val="continue"/>
            <w:noWrap w:val="0"/>
            <w:vAlign w:val="center"/>
          </w:tcPr>
          <w:p w14:paraId="73129B5C">
            <w:pPr>
              <w:jc w:val="center"/>
              <w:rPr>
                <w:rFonts w:ascii="宋体" w:hAnsi="宋体"/>
                <w:szCs w:val="21"/>
              </w:rPr>
            </w:pPr>
          </w:p>
        </w:tc>
        <w:tc>
          <w:tcPr>
            <w:tcW w:w="645" w:type="dxa"/>
            <w:vMerge w:val="continue"/>
            <w:noWrap w:val="0"/>
            <w:vAlign w:val="center"/>
          </w:tcPr>
          <w:p w14:paraId="4DD0E232">
            <w:pPr>
              <w:jc w:val="center"/>
              <w:rPr>
                <w:rFonts w:ascii="宋体" w:hAnsi="宋体"/>
                <w:szCs w:val="21"/>
              </w:rPr>
            </w:pPr>
          </w:p>
        </w:tc>
        <w:tc>
          <w:tcPr>
            <w:tcW w:w="599" w:type="dxa"/>
            <w:vMerge w:val="continue"/>
            <w:noWrap w:val="0"/>
            <w:vAlign w:val="center"/>
          </w:tcPr>
          <w:p w14:paraId="694D489F">
            <w:pPr>
              <w:jc w:val="center"/>
              <w:rPr>
                <w:rFonts w:hint="eastAsia" w:ascii="宋体" w:hAnsi="宋体"/>
                <w:szCs w:val="21"/>
              </w:rPr>
            </w:pPr>
          </w:p>
        </w:tc>
        <w:tc>
          <w:tcPr>
            <w:tcW w:w="1199" w:type="dxa"/>
            <w:vMerge w:val="continue"/>
            <w:noWrap w:val="0"/>
            <w:vAlign w:val="center"/>
          </w:tcPr>
          <w:p w14:paraId="4DD27C97">
            <w:pPr>
              <w:jc w:val="center"/>
              <w:rPr>
                <w:rFonts w:hint="eastAsia" w:ascii="宋体" w:hAnsi="宋体"/>
                <w:szCs w:val="21"/>
              </w:rPr>
            </w:pPr>
          </w:p>
        </w:tc>
        <w:tc>
          <w:tcPr>
            <w:tcW w:w="1443" w:type="dxa"/>
            <w:vMerge w:val="continue"/>
            <w:noWrap w:val="0"/>
            <w:vAlign w:val="center"/>
          </w:tcPr>
          <w:p w14:paraId="4CCA0940">
            <w:pPr>
              <w:ind w:left="113" w:right="113" w:firstLine="4" w:firstLineChars="2"/>
              <w:jc w:val="center"/>
              <w:rPr>
                <w:rFonts w:hint="eastAsia" w:ascii="宋体" w:hAnsi="宋体"/>
                <w:szCs w:val="21"/>
              </w:rPr>
            </w:pPr>
          </w:p>
        </w:tc>
        <w:tc>
          <w:tcPr>
            <w:tcW w:w="1276" w:type="dxa"/>
            <w:tcBorders>
              <w:top w:val="single" w:color="auto" w:sz="4" w:space="0"/>
              <w:bottom w:val="single" w:color="auto" w:sz="4" w:space="0"/>
            </w:tcBorders>
            <w:noWrap w:val="0"/>
            <w:vAlign w:val="center"/>
          </w:tcPr>
          <w:p w14:paraId="11BB79E9">
            <w:pPr>
              <w:jc w:val="center"/>
              <w:rPr>
                <w:rFonts w:hint="eastAsia" w:ascii="宋体" w:hAnsi="宋体"/>
                <w:szCs w:val="21"/>
              </w:rPr>
            </w:pPr>
            <w:r>
              <w:rPr>
                <w:rFonts w:hint="eastAsia" w:ascii="宋体" w:hAnsi="宋体"/>
                <w:szCs w:val="21"/>
                <w:u w:val="single"/>
              </w:rPr>
              <w:t>4</w:t>
            </w:r>
            <w:r>
              <w:rPr>
                <w:rFonts w:hint="eastAsia" w:ascii="宋体" w:hAnsi="宋体"/>
                <w:szCs w:val="21"/>
              </w:rPr>
              <w:t>分</w:t>
            </w:r>
          </w:p>
        </w:tc>
        <w:tc>
          <w:tcPr>
            <w:tcW w:w="3090" w:type="dxa"/>
            <w:tcBorders>
              <w:bottom w:val="single" w:color="auto" w:sz="4" w:space="0"/>
            </w:tcBorders>
            <w:noWrap w:val="0"/>
            <w:vAlign w:val="center"/>
          </w:tcPr>
          <w:p w14:paraId="39DF91E7">
            <w:pPr>
              <w:adjustRightInd w:val="0"/>
              <w:snapToGrid w:val="0"/>
              <w:spacing w:before="48" w:beforeLines="20" w:after="48" w:afterLines="20"/>
              <w:jc w:val="left"/>
              <w:rPr>
                <w:rFonts w:hint="eastAsia" w:ascii="宋体" w:hAnsi="宋体"/>
                <w:szCs w:val="21"/>
              </w:rPr>
            </w:pPr>
            <w:r>
              <w:rPr>
                <w:rFonts w:hint="eastAsia" w:ascii="宋体" w:hAnsi="宋体"/>
                <w:szCs w:val="21"/>
              </w:rPr>
              <w:t>信用评价C级</w:t>
            </w:r>
          </w:p>
        </w:tc>
      </w:tr>
      <w:tr w14:paraId="7C49CE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40" w:type="dxa"/>
            <w:vMerge w:val="continue"/>
            <w:noWrap w:val="0"/>
            <w:vAlign w:val="center"/>
          </w:tcPr>
          <w:p w14:paraId="65CE1A79">
            <w:pPr>
              <w:jc w:val="center"/>
              <w:rPr>
                <w:rFonts w:ascii="宋体" w:hAnsi="宋体"/>
                <w:szCs w:val="21"/>
              </w:rPr>
            </w:pPr>
          </w:p>
        </w:tc>
        <w:tc>
          <w:tcPr>
            <w:tcW w:w="645" w:type="dxa"/>
            <w:vMerge w:val="continue"/>
            <w:noWrap w:val="0"/>
            <w:vAlign w:val="center"/>
          </w:tcPr>
          <w:p w14:paraId="7FBB5845">
            <w:pPr>
              <w:jc w:val="center"/>
              <w:rPr>
                <w:rFonts w:ascii="宋体" w:hAnsi="宋体"/>
                <w:szCs w:val="21"/>
              </w:rPr>
            </w:pPr>
          </w:p>
        </w:tc>
        <w:tc>
          <w:tcPr>
            <w:tcW w:w="599" w:type="dxa"/>
            <w:vMerge w:val="continue"/>
            <w:noWrap w:val="0"/>
            <w:vAlign w:val="center"/>
          </w:tcPr>
          <w:p w14:paraId="07DC65F1">
            <w:pPr>
              <w:jc w:val="center"/>
              <w:rPr>
                <w:rFonts w:hint="eastAsia" w:ascii="宋体" w:hAnsi="宋体"/>
                <w:szCs w:val="21"/>
              </w:rPr>
            </w:pPr>
          </w:p>
        </w:tc>
        <w:tc>
          <w:tcPr>
            <w:tcW w:w="1199" w:type="dxa"/>
            <w:vMerge w:val="continue"/>
            <w:noWrap w:val="0"/>
            <w:vAlign w:val="center"/>
          </w:tcPr>
          <w:p w14:paraId="43099B0B">
            <w:pPr>
              <w:jc w:val="center"/>
              <w:rPr>
                <w:rFonts w:hint="eastAsia" w:ascii="宋体" w:hAnsi="宋体"/>
                <w:szCs w:val="21"/>
              </w:rPr>
            </w:pPr>
          </w:p>
        </w:tc>
        <w:tc>
          <w:tcPr>
            <w:tcW w:w="1443" w:type="dxa"/>
            <w:vMerge w:val="continue"/>
            <w:noWrap w:val="0"/>
            <w:vAlign w:val="center"/>
          </w:tcPr>
          <w:p w14:paraId="3363C4E0">
            <w:pPr>
              <w:ind w:left="113" w:right="113" w:firstLine="4" w:firstLineChars="2"/>
              <w:jc w:val="center"/>
              <w:rPr>
                <w:rFonts w:hint="eastAsia" w:ascii="宋体" w:hAnsi="宋体"/>
                <w:szCs w:val="21"/>
              </w:rPr>
            </w:pPr>
          </w:p>
        </w:tc>
        <w:tc>
          <w:tcPr>
            <w:tcW w:w="1276" w:type="dxa"/>
            <w:tcBorders>
              <w:top w:val="single" w:color="auto" w:sz="4" w:space="0"/>
              <w:bottom w:val="single" w:color="auto" w:sz="4" w:space="0"/>
            </w:tcBorders>
            <w:noWrap w:val="0"/>
            <w:vAlign w:val="center"/>
          </w:tcPr>
          <w:p w14:paraId="11958D20">
            <w:pPr>
              <w:jc w:val="center"/>
              <w:rPr>
                <w:rFonts w:hint="eastAsia" w:ascii="宋体" w:hAnsi="宋体"/>
                <w:szCs w:val="21"/>
              </w:rPr>
            </w:pPr>
            <w:r>
              <w:rPr>
                <w:rFonts w:hint="eastAsia" w:ascii="宋体" w:hAnsi="宋体"/>
                <w:szCs w:val="21"/>
                <w:u w:val="single"/>
              </w:rPr>
              <w:t>0</w:t>
            </w:r>
            <w:r>
              <w:rPr>
                <w:rFonts w:hint="eastAsia" w:ascii="宋体" w:hAnsi="宋体"/>
                <w:szCs w:val="21"/>
              </w:rPr>
              <w:t>分</w:t>
            </w:r>
          </w:p>
        </w:tc>
        <w:tc>
          <w:tcPr>
            <w:tcW w:w="3090" w:type="dxa"/>
            <w:tcBorders>
              <w:bottom w:val="single" w:color="auto" w:sz="4" w:space="0"/>
            </w:tcBorders>
            <w:noWrap w:val="0"/>
            <w:vAlign w:val="center"/>
          </w:tcPr>
          <w:p w14:paraId="75C59030">
            <w:pPr>
              <w:adjustRightInd w:val="0"/>
              <w:snapToGrid w:val="0"/>
              <w:spacing w:before="48" w:beforeLines="20" w:after="48" w:afterLines="20"/>
              <w:jc w:val="left"/>
              <w:rPr>
                <w:rFonts w:hint="eastAsia" w:ascii="宋体" w:hAnsi="宋体"/>
                <w:szCs w:val="21"/>
              </w:rPr>
            </w:pPr>
            <w:r>
              <w:rPr>
                <w:rFonts w:hint="eastAsia" w:ascii="宋体" w:hAnsi="宋体"/>
                <w:szCs w:val="21"/>
              </w:rPr>
              <w:t>信用评价D级</w:t>
            </w:r>
          </w:p>
        </w:tc>
      </w:tr>
      <w:tr w14:paraId="28E43D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46" w:hRule="exact"/>
          <w:jc w:val="center"/>
        </w:trPr>
        <w:tc>
          <w:tcPr>
            <w:tcW w:w="940" w:type="dxa"/>
            <w:vMerge w:val="continue"/>
            <w:noWrap w:val="0"/>
            <w:vAlign w:val="center"/>
          </w:tcPr>
          <w:p w14:paraId="6465C164">
            <w:pPr>
              <w:jc w:val="center"/>
              <w:rPr>
                <w:rFonts w:ascii="宋体" w:hAnsi="宋体"/>
                <w:szCs w:val="21"/>
              </w:rPr>
            </w:pPr>
          </w:p>
        </w:tc>
        <w:tc>
          <w:tcPr>
            <w:tcW w:w="645" w:type="dxa"/>
            <w:vMerge w:val="continue"/>
            <w:noWrap w:val="0"/>
            <w:vAlign w:val="center"/>
          </w:tcPr>
          <w:p w14:paraId="6387B86C">
            <w:pPr>
              <w:jc w:val="center"/>
              <w:rPr>
                <w:rFonts w:ascii="宋体" w:hAnsi="宋体"/>
                <w:szCs w:val="21"/>
              </w:rPr>
            </w:pPr>
          </w:p>
        </w:tc>
        <w:tc>
          <w:tcPr>
            <w:tcW w:w="599" w:type="dxa"/>
            <w:vMerge w:val="continue"/>
            <w:noWrap w:val="0"/>
            <w:vAlign w:val="center"/>
          </w:tcPr>
          <w:p w14:paraId="67F2997D">
            <w:pPr>
              <w:jc w:val="center"/>
              <w:rPr>
                <w:rFonts w:ascii="宋体" w:hAnsi="宋体"/>
                <w:szCs w:val="21"/>
              </w:rPr>
            </w:pPr>
          </w:p>
        </w:tc>
        <w:tc>
          <w:tcPr>
            <w:tcW w:w="7008" w:type="dxa"/>
            <w:gridSpan w:val="4"/>
            <w:tcBorders>
              <w:top w:val="single" w:color="auto" w:sz="4" w:space="0"/>
              <w:bottom w:val="single" w:color="auto" w:sz="4" w:space="0"/>
            </w:tcBorders>
            <w:noWrap w:val="0"/>
            <w:vAlign w:val="center"/>
          </w:tcPr>
          <w:p w14:paraId="451BD625">
            <w:pPr>
              <w:autoSpaceDE w:val="0"/>
              <w:autoSpaceDN w:val="0"/>
              <w:spacing w:line="23" w:lineRule="atLeast"/>
              <w:rPr>
                <w:rFonts w:ascii="宋体" w:hAnsi="宋体" w:cs="宋体"/>
                <w:szCs w:val="21"/>
              </w:rPr>
            </w:pPr>
            <w:r>
              <w:rPr>
                <w:rFonts w:hint="eastAsia" w:ascii="宋体" w:hAnsi="宋体" w:cs="宋体"/>
                <w:kern w:val="0"/>
                <w:szCs w:val="21"/>
              </w:rPr>
              <w:t>信用评价等级</w:t>
            </w:r>
            <w:r>
              <w:rPr>
                <w:rFonts w:hint="eastAsia" w:ascii="宋体" w:hAnsi="宋体"/>
                <w:szCs w:val="21"/>
              </w:rPr>
              <w:t>优先采用以下所列顺序在前的企业信用等级：</w:t>
            </w:r>
          </w:p>
          <w:p w14:paraId="0C7B415C">
            <w:pPr>
              <w:autoSpaceDE w:val="0"/>
              <w:autoSpaceDN w:val="0"/>
              <w:spacing w:line="23" w:lineRule="atLeast"/>
              <w:rPr>
                <w:rFonts w:ascii="宋体" w:hAnsi="宋体" w:cs="宋体"/>
                <w:szCs w:val="21"/>
              </w:rPr>
            </w:pPr>
            <w:r>
              <w:rPr>
                <w:rFonts w:hint="eastAsia" w:ascii="宋体" w:hAnsi="宋体"/>
                <w:szCs w:val="21"/>
              </w:rPr>
              <w:t>（1）吉林省交通运输厅发布的“吉林省2024年度公路建设市场省级信用评价结果的通告</w:t>
            </w:r>
            <w:r>
              <w:rPr>
                <w:rFonts w:hint="eastAsia" w:ascii="宋体" w:hAnsi="宋体" w:cs="宋体"/>
                <w:kern w:val="0"/>
                <w:szCs w:val="21"/>
              </w:rPr>
              <w:t>”中投标人的信用等级；</w:t>
            </w:r>
          </w:p>
          <w:p w14:paraId="2C8E2175">
            <w:pPr>
              <w:autoSpaceDE w:val="0"/>
              <w:autoSpaceDN w:val="0"/>
              <w:spacing w:line="23" w:lineRule="atLeast"/>
              <w:rPr>
                <w:rFonts w:ascii="宋体" w:hAnsi="宋体" w:cs="宋体"/>
                <w:szCs w:val="21"/>
              </w:rPr>
            </w:pPr>
            <w:r>
              <w:rPr>
                <w:rFonts w:hint="eastAsia" w:ascii="宋体" w:hAnsi="宋体" w:cs="宋体"/>
                <w:szCs w:val="21"/>
              </w:rPr>
              <w:t>（2）交通运输部“全国公路建设市场监督管理系统”中“全国公路从业单位信用评价结果”投标人的2023年信用等级；</w:t>
            </w:r>
          </w:p>
          <w:p w14:paraId="00C0AE5A">
            <w:pPr>
              <w:autoSpaceDE w:val="0"/>
              <w:autoSpaceDN w:val="0"/>
              <w:spacing w:line="23" w:lineRule="atLeast"/>
              <w:rPr>
                <w:rFonts w:hint="eastAsia" w:ascii="楷体" w:hAnsi="楷体" w:eastAsia="楷体"/>
                <w:color w:val="4472C4"/>
                <w:szCs w:val="21"/>
              </w:rPr>
            </w:pPr>
            <w:r>
              <w:rPr>
                <w:rFonts w:hint="eastAsia" w:ascii="宋体" w:hAnsi="宋体" w:cs="宋体"/>
                <w:szCs w:val="21"/>
              </w:rPr>
              <w:t>（3）企业无上述信用评价的，若未列入交通运输部“全国公路建设市场监督管理系统”中“不良信用记录”的，按A级对待，否则视其严重程度按B级或以下等级认定。</w:t>
            </w:r>
          </w:p>
        </w:tc>
      </w:tr>
    </w:tbl>
    <w:p w14:paraId="42C2EB33">
      <w:pPr>
        <w:rPr>
          <w:rFonts w:hint="default" w:ascii="黑体" w:hAnsi="黑体" w:eastAsia="黑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3524C58F">
      <w:pPr>
        <w:pStyle w:val="12"/>
        <w:rPr>
          <w:rFonts w:ascii="楷体" w:hAnsi="楷体" w:eastAsia="楷体"/>
        </w:rPr>
      </w:pPr>
      <w:r>
        <w:rPr>
          <w:rStyle w:val="18"/>
          <w:rFonts w:ascii="楷体" w:hAnsi="楷体" w:eastAsia="楷体"/>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1">
    <w:p w14:paraId="0BF72A06">
      <w:pPr>
        <w:pStyle w:val="12"/>
      </w:pPr>
      <w:r>
        <w:rPr>
          <w:rStyle w:val="18"/>
          <w:rFonts w:hint="eastAsia" w:ascii="宋体" w:hAnsi="宋体" w:cs="宋体"/>
        </w:rPr>
        <w:footnoteRef/>
      </w:r>
      <w:r>
        <w:rPr>
          <w:rFonts w:hint="eastAsia" w:ascii="宋体" w:hAnsi="宋体" w:cs="宋体"/>
        </w:rPr>
        <w:t>本款规定仅适用于根据《关于发布公路工程从业企业资质名录的通知》（厅公路字[2011]114号）要求，招标人应通过名录</w:t>
      </w:r>
      <w:r>
        <w:rPr>
          <w:rFonts w:hint="eastAsia"/>
        </w:rPr>
        <w:t>对投标人资质条件进行审核的公路施工监理企业。</w:t>
      </w:r>
    </w:p>
  </w:footnote>
  <w:footnote w:id="2">
    <w:p w14:paraId="646A191D">
      <w:pPr>
        <w:pStyle w:val="12"/>
        <w:jc w:val="both"/>
        <w:rPr>
          <w:rFonts w:ascii="楷体" w:hAnsi="楷体" w:eastAsia="楷体"/>
        </w:rPr>
      </w:pPr>
      <w:r>
        <w:rPr>
          <w:rStyle w:val="18"/>
          <w:rFonts w:ascii="楷体" w:hAnsi="楷体" w:eastAsia="楷体"/>
        </w:rPr>
        <w:footnoteRef/>
      </w:r>
      <w:r>
        <w:rPr>
          <w:rFonts w:hint="eastAsia" w:ascii="楷体" w:hAnsi="楷体" w:eastAsia="楷体"/>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7008A"/>
    <w:rsid w:val="13033257"/>
    <w:rsid w:val="257429C1"/>
    <w:rsid w:val="2BF437BD"/>
    <w:rsid w:val="43212C92"/>
    <w:rsid w:val="502B428B"/>
    <w:rsid w:val="53040541"/>
    <w:rsid w:val="53AA2830"/>
    <w:rsid w:val="587968D2"/>
    <w:rsid w:val="6EC24A7A"/>
    <w:rsid w:val="7577008A"/>
    <w:rsid w:val="7747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qFormat/>
    <w:uiPriority w:val="9"/>
    <w:pPr>
      <w:keepNext/>
      <w:keepLines/>
      <w:spacing w:before="260" w:after="260" w:line="416" w:lineRule="auto"/>
      <w:outlineLvl w:val="2"/>
    </w:pPr>
    <w:rPr>
      <w:b/>
      <w:bCs/>
      <w:kern w:val="0"/>
      <w:sz w:val="32"/>
      <w:szCs w:val="32"/>
    </w:rPr>
  </w:style>
  <w:style w:type="paragraph" w:styleId="4">
    <w:name w:val="heading 4"/>
    <w:basedOn w:val="1"/>
    <w:next w:val="1"/>
    <w:qFormat/>
    <w:uiPriority w:val="9"/>
    <w:pPr>
      <w:tabs>
        <w:tab w:val="left" w:pos="315"/>
      </w:tabs>
      <w:spacing w:before="120" w:after="120"/>
      <w:outlineLvl w:val="3"/>
    </w:pPr>
    <w:rPr>
      <w:rFonts w:ascii="Cambria" w:hAnsi="Cambria" w:eastAsia="黑体"/>
      <w:bCs/>
      <w:sz w:val="24"/>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next w:val="8"/>
    <w:qFormat/>
    <w:uiPriority w:val="0"/>
    <w:pPr>
      <w:ind w:firstLine="1120" w:firstLineChars="400"/>
    </w:pPr>
    <w:rPr>
      <w:rFonts w:ascii="Times New Roman" w:hAnsi="Times New Roman"/>
      <w:sz w:val="28"/>
      <w:szCs w:val="24"/>
    </w:rPr>
  </w:style>
  <w:style w:type="paragraph" w:styleId="8">
    <w:name w:val="Body Text Indent 2"/>
    <w:basedOn w:val="1"/>
    <w:qFormat/>
    <w:uiPriority w:val="0"/>
    <w:pPr>
      <w:ind w:left="206" w:hanging="206" w:hangingChars="98"/>
    </w:pPr>
    <w:rPr>
      <w:rFonts w:ascii="Times New Roman" w:hAnsi="Times New Roman"/>
      <w:szCs w:val="24"/>
    </w:rPr>
  </w:style>
  <w:style w:type="paragraph" w:styleId="9">
    <w:name w:val="Plain Text"/>
    <w:basedOn w:val="1"/>
    <w:qFormat/>
    <w:uiPriority w:val="0"/>
    <w:rPr>
      <w:rFonts w:ascii="宋体" w:hAnsi="Courier New"/>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unhideWhenUsed/>
    <w:qFormat/>
    <w:uiPriority w:val="0"/>
    <w:pPr>
      <w:snapToGrid w:val="0"/>
      <w:jc w:val="left"/>
    </w:pPr>
    <w:rPr>
      <w:kern w:val="0"/>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Title"/>
    <w:basedOn w:val="1"/>
    <w:next w:val="1"/>
    <w:link w:val="23"/>
    <w:qFormat/>
    <w:uiPriority w:val="0"/>
    <w:pPr>
      <w:spacing w:before="240" w:after="60"/>
      <w:jc w:val="center"/>
      <w:outlineLvl w:val="0"/>
    </w:pPr>
    <w:rPr>
      <w:rFonts w:ascii="Cambria" w:hAnsi="Cambria"/>
      <w:b/>
      <w:bCs/>
      <w:sz w:val="32"/>
      <w:szCs w:val="32"/>
    </w:rPr>
  </w:style>
  <w:style w:type="character" w:styleId="17">
    <w:name w:val="page number"/>
    <w:qFormat/>
    <w:uiPriority w:val="0"/>
  </w:style>
  <w:style w:type="character" w:styleId="18">
    <w:name w:val="footnote reference"/>
    <w:qFormat/>
    <w:uiPriority w:val="0"/>
    <w:rPr>
      <w:vertAlign w:val="superscript"/>
    </w:rPr>
  </w:style>
  <w:style w:type="paragraph" w:customStyle="1" w:styleId="19">
    <w:name w:val="其他"/>
    <w:basedOn w:val="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20">
    <w:name w:val="Table Text"/>
    <w:basedOn w:val="1"/>
    <w:semiHidden/>
    <w:qFormat/>
    <w:uiPriority w:val="0"/>
    <w:rPr>
      <w:rFonts w:ascii="宋体" w:hAnsi="宋体" w:cs="宋体"/>
      <w:sz w:val="20"/>
      <w:szCs w:val="20"/>
      <w:lang w:eastAsia="en-US"/>
    </w:rPr>
  </w:style>
  <w:style w:type="character" w:customStyle="1" w:styleId="21">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22">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23">
    <w:name w:val="标题 字符2"/>
    <w:link w:val="14"/>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4596</Words>
  <Characters>4923</Characters>
  <Lines>0</Lines>
  <Paragraphs>0</Paragraphs>
  <TotalTime>1</TotalTime>
  <ScaleCrop>false</ScaleCrop>
  <LinksUpToDate>false</LinksUpToDate>
  <CharactersWithSpaces>5090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2025-09-25T04:27:00Z</dcterms:created>
  <dc:creator>水晶般透明</dc:creator>
  <cp:lastModifiedBy>丁聪</cp:lastModifiedBy>
  <dcterms:modified xsi:type="dcterms:W3CDTF">2025-09-29T00:39:08Z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A283CEA88C734FE7B07ED82E9E52A72A_11</vt:lpwstr>
  </property>
  <property fmtid="{D5CDD505-2E9C-101B-9397-08002B2CF9AE}" pid="4" name="KSOTemplateDocerSaveRecord">
    <vt:lpwstr>eyJoZGlkIjoiYzA1Y2IwMGUwOTFkODdiMzk0YjlkMmEyYTgwYWJjNzEiLCJ1c2VySWQiOiIyNDUwODQ0ODUifQ==</vt:lpwstr>
  </property>
</Properties>
</file>