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6929CB">
      <w:pPr>
        <w:keepLines w:val="0"/>
        <w:kinsoku/>
        <w:wordWrap/>
        <w:overflowPunct/>
        <w:topLinePunct w:val="0"/>
        <w:bidi w:val="0"/>
        <w:spacing w:line="36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白城市2024年国道嫩双公路（G231）行知学校至洮北洮南界段</w:t>
      </w:r>
      <w:r>
        <w:rPr>
          <w:rFonts w:hint="eastAsia" w:ascii="宋体" w:hAnsi="宋体" w:eastAsia="宋体" w:cs="宋体"/>
          <w:b/>
          <w:bCs/>
          <w:sz w:val="21"/>
          <w:szCs w:val="21"/>
          <w:lang w:eastAsia="zh-CN"/>
        </w:rPr>
        <w:t>路面改造工程施工监理及中心试验室</w:t>
      </w:r>
    </w:p>
    <w:p w14:paraId="2941CA4A">
      <w:pPr>
        <w:keepLines w:val="0"/>
        <w:kinsoku/>
        <w:wordWrap/>
        <w:overflowPunct/>
        <w:topLinePunct w:val="0"/>
        <w:bidi w:val="0"/>
        <w:spacing w:line="36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招标文件公开内容</w:t>
      </w:r>
    </w:p>
    <w:p w14:paraId="5BFA3234">
      <w:pPr>
        <w:keepLines w:val="0"/>
        <w:tabs>
          <w:tab w:val="center" w:pos="4819"/>
        </w:tabs>
        <w:kinsoku/>
        <w:wordWrap/>
        <w:overflowPunct/>
        <w:topLinePunct w:val="0"/>
        <w:bidi w:val="0"/>
        <w:spacing w:line="360" w:lineRule="exact"/>
        <w:textAlignment w:val="auto"/>
        <w:rPr>
          <w:rFonts w:hint="eastAsia" w:ascii="宋体" w:hAnsi="宋体" w:eastAsia="宋体" w:cs="宋体"/>
          <w:b/>
          <w:sz w:val="21"/>
          <w:szCs w:val="21"/>
        </w:rPr>
      </w:pPr>
      <w:r>
        <w:rPr>
          <w:rFonts w:hint="eastAsia" w:ascii="宋体" w:hAnsi="宋体" w:eastAsia="宋体" w:cs="宋体"/>
          <w:b/>
          <w:sz w:val="21"/>
          <w:szCs w:val="21"/>
        </w:rPr>
        <w:t>一、项目概况与招标范围</w:t>
      </w:r>
      <w:r>
        <w:rPr>
          <w:rFonts w:hint="eastAsia" w:ascii="宋体" w:hAnsi="宋体" w:eastAsia="宋体" w:cs="宋体"/>
          <w:b/>
          <w:sz w:val="21"/>
          <w:szCs w:val="21"/>
        </w:rPr>
        <w:tab/>
      </w:r>
    </w:p>
    <w:p w14:paraId="2864CD02">
      <w:pPr>
        <w:keepLines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详见招标公告</w:t>
      </w:r>
    </w:p>
    <w:p w14:paraId="3E199095">
      <w:pPr>
        <w:keepLines w:val="0"/>
        <w:kinsoku/>
        <w:wordWrap/>
        <w:overflowPunct/>
        <w:topLinePunct w:val="0"/>
        <w:bidi w:val="0"/>
        <w:spacing w:line="360" w:lineRule="exact"/>
        <w:textAlignment w:val="auto"/>
        <w:rPr>
          <w:rFonts w:hint="eastAsia" w:ascii="宋体" w:hAnsi="宋体" w:eastAsia="宋体" w:cs="宋体"/>
          <w:b/>
          <w:sz w:val="21"/>
          <w:szCs w:val="21"/>
        </w:rPr>
      </w:pPr>
      <w:r>
        <w:rPr>
          <w:rFonts w:hint="eastAsia" w:ascii="宋体" w:hAnsi="宋体" w:eastAsia="宋体" w:cs="宋体"/>
          <w:b/>
          <w:sz w:val="21"/>
          <w:szCs w:val="21"/>
        </w:rPr>
        <w:t>二、投标人资格要求</w:t>
      </w:r>
    </w:p>
    <w:p w14:paraId="75CC6936">
      <w:pPr>
        <w:keepLines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投标人须知前附表（投标人资格要求部分）</w:t>
      </w:r>
    </w:p>
    <w:tbl>
      <w:tblPr>
        <w:tblStyle w:val="11"/>
        <w:tblW w:w="9475" w:type="dxa"/>
        <w:jc w:val="center"/>
        <w:tblLayout w:type="fixed"/>
        <w:tblCellMar>
          <w:top w:w="0" w:type="dxa"/>
          <w:left w:w="28" w:type="dxa"/>
          <w:bottom w:w="0" w:type="dxa"/>
          <w:right w:w="28" w:type="dxa"/>
        </w:tblCellMar>
      </w:tblPr>
      <w:tblGrid>
        <w:gridCol w:w="953"/>
        <w:gridCol w:w="2006"/>
        <w:gridCol w:w="6516"/>
      </w:tblGrid>
      <w:tr w14:paraId="50334ED8">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3DED2897">
            <w:pPr>
              <w:keepLines w:val="0"/>
              <w:kinsoku/>
              <w:wordWrap/>
              <w:overflowPunct/>
              <w:topLinePunct w:val="0"/>
              <w:bidi w:val="0"/>
              <w:adjustRightInd w:val="0"/>
              <w:snapToGrid w:val="0"/>
              <w:spacing w:before="100" w:beforeAutospacing="1" w:after="100" w:afterAutospacing="1"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条款号</w:t>
            </w:r>
          </w:p>
        </w:tc>
        <w:tc>
          <w:tcPr>
            <w:tcW w:w="2006" w:type="dxa"/>
            <w:tcBorders>
              <w:top w:val="single" w:color="000000" w:sz="4" w:space="0"/>
              <w:left w:val="single" w:color="000000" w:sz="4" w:space="0"/>
              <w:bottom w:val="single" w:color="000000" w:sz="4" w:space="0"/>
              <w:right w:val="single" w:color="000000" w:sz="4" w:space="0"/>
            </w:tcBorders>
            <w:vAlign w:val="center"/>
          </w:tcPr>
          <w:p w14:paraId="4E3AF8F4">
            <w:pPr>
              <w:keepLines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条款名称</w:t>
            </w:r>
          </w:p>
        </w:tc>
        <w:tc>
          <w:tcPr>
            <w:tcW w:w="6516" w:type="dxa"/>
            <w:tcBorders>
              <w:top w:val="single" w:color="000000" w:sz="4" w:space="0"/>
              <w:left w:val="single" w:color="000000" w:sz="4" w:space="0"/>
              <w:bottom w:val="single" w:color="000000" w:sz="4" w:space="0"/>
              <w:right w:val="single" w:color="auto" w:sz="12" w:space="0"/>
            </w:tcBorders>
            <w:vAlign w:val="center"/>
          </w:tcPr>
          <w:p w14:paraId="476D8926">
            <w:pPr>
              <w:keepLines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编列内容</w:t>
            </w:r>
          </w:p>
        </w:tc>
      </w:tr>
      <w:tr w14:paraId="2CA833FA">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5B649EB7">
            <w:pPr>
              <w:keepLines w:val="0"/>
              <w:kinsoku/>
              <w:wordWrap/>
              <w:overflowPunct/>
              <w:topLinePunct w:val="0"/>
              <w:bidi w:val="0"/>
              <w:adjustRightInd w:val="0"/>
              <w:snapToGrid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highlight w:val="none"/>
              </w:rPr>
              <w:t>1.4.1</w:t>
            </w:r>
          </w:p>
        </w:tc>
        <w:tc>
          <w:tcPr>
            <w:tcW w:w="2006" w:type="dxa"/>
            <w:tcBorders>
              <w:top w:val="single" w:color="000000" w:sz="4" w:space="0"/>
              <w:left w:val="single" w:color="000000" w:sz="4" w:space="0"/>
              <w:bottom w:val="single" w:color="000000" w:sz="4" w:space="0"/>
              <w:right w:val="single" w:color="000000" w:sz="4" w:space="0"/>
            </w:tcBorders>
            <w:vAlign w:val="center"/>
          </w:tcPr>
          <w:p w14:paraId="4FE034D9">
            <w:pPr>
              <w:keepLines w:val="0"/>
              <w:kinsoku/>
              <w:wordWrap/>
              <w:overflowPunct/>
              <w:topLinePunct w:val="0"/>
              <w:bidi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投标人资质条件、</w:t>
            </w:r>
          </w:p>
          <w:p w14:paraId="337D6413">
            <w:pPr>
              <w:keepLines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highlight w:val="none"/>
              </w:rPr>
              <w:t>能力和信誉</w:t>
            </w:r>
          </w:p>
        </w:tc>
        <w:tc>
          <w:tcPr>
            <w:tcW w:w="6516" w:type="dxa"/>
            <w:tcBorders>
              <w:top w:val="single" w:color="000000" w:sz="4" w:space="0"/>
              <w:left w:val="single" w:color="000000" w:sz="4" w:space="0"/>
              <w:bottom w:val="single" w:color="000000" w:sz="4" w:space="0"/>
              <w:right w:val="single" w:color="auto" w:sz="12" w:space="0"/>
            </w:tcBorders>
            <w:vAlign w:val="center"/>
          </w:tcPr>
          <w:p w14:paraId="1E6901C2">
            <w:pPr>
              <w:keepLines w:val="0"/>
              <w:kinsoku/>
              <w:wordWrap/>
              <w:overflowPunct/>
              <w:topLinePunct w:val="0"/>
              <w:bidi w:val="0"/>
              <w:spacing w:line="3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资质</w:t>
            </w:r>
            <w:r>
              <w:rPr>
                <w:rFonts w:hint="eastAsia" w:ascii="宋体" w:hAnsi="宋体" w:eastAsia="宋体" w:cs="宋体"/>
                <w:sz w:val="21"/>
                <w:szCs w:val="21"/>
                <w:highlight w:val="none"/>
                <w:lang w:val="en-US" w:eastAsia="zh-CN"/>
              </w:rPr>
              <w:t>要求</w:t>
            </w:r>
            <w:r>
              <w:rPr>
                <w:rFonts w:hint="eastAsia" w:ascii="宋体" w:hAnsi="宋体" w:eastAsia="宋体" w:cs="宋体"/>
                <w:sz w:val="21"/>
                <w:szCs w:val="21"/>
                <w:highlight w:val="none"/>
              </w:rPr>
              <w:t>：</w:t>
            </w:r>
            <w:r>
              <w:rPr>
                <w:rFonts w:hint="eastAsia" w:ascii="宋体" w:hAnsi="宋体" w:eastAsia="宋体" w:cs="宋体"/>
                <w:sz w:val="21"/>
                <w:szCs w:val="21"/>
                <w:highlight w:val="none"/>
              </w:rPr>
              <w:t>见附录1</w:t>
            </w:r>
          </w:p>
          <w:p w14:paraId="5BE3FBF2">
            <w:pPr>
              <w:keepLines w:val="0"/>
              <w:kinsoku/>
              <w:wordWrap/>
              <w:overflowPunct/>
              <w:topLinePunct w:val="0"/>
              <w:bidi w:val="0"/>
              <w:spacing w:line="3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业绩要求：见附录2</w:t>
            </w:r>
          </w:p>
          <w:p w14:paraId="01D6BC94">
            <w:pPr>
              <w:keepLines w:val="0"/>
              <w:kinsoku/>
              <w:wordWrap/>
              <w:overflowPunct/>
              <w:topLinePunct w:val="0"/>
              <w:bidi w:val="0"/>
              <w:spacing w:line="3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信誉要求：见附录3</w:t>
            </w:r>
          </w:p>
          <w:p w14:paraId="39A4E657">
            <w:pPr>
              <w:keepLines w:val="0"/>
              <w:kinsoku/>
              <w:wordWrap/>
              <w:overflowPunct/>
              <w:topLinePunct w:val="0"/>
              <w:bidi w:val="0"/>
              <w:spacing w:line="3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总监理工程师</w:t>
            </w:r>
            <w:r>
              <w:rPr>
                <w:rFonts w:hint="eastAsia" w:ascii="宋体" w:hAnsi="宋体" w:eastAsia="宋体" w:cs="宋体"/>
                <w:sz w:val="21"/>
                <w:szCs w:val="21"/>
                <w:highlight w:val="none"/>
                <w:lang w:val="en-US" w:eastAsia="zh-CN"/>
              </w:rPr>
              <w:t>和试验检测负责人</w:t>
            </w:r>
            <w:r>
              <w:rPr>
                <w:rFonts w:hint="eastAsia" w:ascii="宋体" w:hAnsi="宋体" w:eastAsia="宋体" w:cs="宋体"/>
                <w:sz w:val="21"/>
                <w:szCs w:val="21"/>
                <w:highlight w:val="none"/>
              </w:rPr>
              <w:t>资格：见附录4</w:t>
            </w:r>
          </w:p>
          <w:p w14:paraId="51A37157">
            <w:pPr>
              <w:keepLines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highlight w:val="none"/>
              </w:rPr>
              <w:t>其他要求：无</w:t>
            </w:r>
          </w:p>
        </w:tc>
      </w:tr>
      <w:tr w14:paraId="62D62B33">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4BDEBA49">
            <w:pPr>
              <w:keepLines w:val="0"/>
              <w:kinsoku/>
              <w:wordWrap/>
              <w:overflowPunct/>
              <w:topLinePunct w:val="0"/>
              <w:bidi w:val="0"/>
              <w:adjustRightInd w:val="0"/>
              <w:snapToGrid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highlight w:val="none"/>
              </w:rPr>
              <w:t>1.4.2</w:t>
            </w:r>
          </w:p>
        </w:tc>
        <w:tc>
          <w:tcPr>
            <w:tcW w:w="2006" w:type="dxa"/>
            <w:tcBorders>
              <w:top w:val="single" w:color="000000" w:sz="4" w:space="0"/>
              <w:left w:val="single" w:color="000000" w:sz="4" w:space="0"/>
              <w:bottom w:val="single" w:color="000000" w:sz="4" w:space="0"/>
              <w:right w:val="single" w:color="000000" w:sz="4" w:space="0"/>
            </w:tcBorders>
            <w:vAlign w:val="center"/>
          </w:tcPr>
          <w:p w14:paraId="3A9D72C3">
            <w:pPr>
              <w:keepLines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highlight w:val="none"/>
              </w:rPr>
              <w:t>是否接受联合体投标</w:t>
            </w:r>
          </w:p>
        </w:tc>
        <w:tc>
          <w:tcPr>
            <w:tcW w:w="6516" w:type="dxa"/>
            <w:tcBorders>
              <w:top w:val="single" w:color="000000" w:sz="4" w:space="0"/>
              <w:left w:val="single" w:color="000000" w:sz="4" w:space="0"/>
              <w:bottom w:val="single" w:color="000000" w:sz="4" w:space="0"/>
              <w:right w:val="single" w:color="auto" w:sz="12" w:space="0"/>
            </w:tcBorders>
            <w:vAlign w:val="center"/>
          </w:tcPr>
          <w:p w14:paraId="1400265F">
            <w:pPr>
              <w:keepLines w:val="0"/>
              <w:kinsoku/>
              <w:wordWrap/>
              <w:overflowPunct/>
              <w:topLinePunct w:val="0"/>
              <w:bidi w:val="0"/>
              <w:spacing w:line="360" w:lineRule="exact"/>
              <w:textAlignment w:val="auto"/>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zh-CN"/>
              </w:rPr>
              <w:fldChar w:fldCharType="begin"/>
            </w:r>
            <w:r>
              <w:rPr>
                <w:rFonts w:hint="eastAsia" w:ascii="宋体" w:hAnsi="宋体" w:eastAsia="宋体" w:cs="宋体"/>
                <w:kern w:val="0"/>
                <w:sz w:val="21"/>
                <w:szCs w:val="21"/>
                <w:highlight w:val="none"/>
                <w:lang w:val="zh-CN"/>
              </w:rPr>
              <w:instrText xml:space="preserve"> </w:instrText>
            </w:r>
            <w:r>
              <w:rPr>
                <w:rFonts w:hint="eastAsia" w:ascii="宋体" w:hAnsi="宋体" w:eastAsia="宋体" w:cs="宋体"/>
                <w:kern w:val="0"/>
                <w:sz w:val="21"/>
                <w:szCs w:val="21"/>
                <w:highlight w:val="none"/>
                <w:lang w:val="zh-CN"/>
              </w:rPr>
              <w:instrText xml:space="preserve">eq \o\ac(</w:instrText>
            </w:r>
            <w:r>
              <w:rPr>
                <w:rFonts w:hint="eastAsia" w:ascii="宋体" w:hAnsi="宋体" w:eastAsia="宋体" w:cs="宋体"/>
                <w:kern w:val="0"/>
                <w:position w:val="-4"/>
                <w:sz w:val="31"/>
                <w:szCs w:val="21"/>
                <w:highlight w:val="none"/>
                <w:lang w:val="zh-CN"/>
              </w:rPr>
              <w:instrText xml:space="preserve">□</w:instrText>
            </w:r>
            <w:r>
              <w:rPr>
                <w:rFonts w:hint="eastAsia" w:ascii="宋体" w:hAnsi="宋体" w:eastAsia="宋体" w:cs="宋体"/>
                <w:kern w:val="0"/>
                <w:position w:val="0"/>
                <w:sz w:val="21"/>
                <w:szCs w:val="21"/>
                <w:highlight w:val="none"/>
                <w:lang w:val="zh-CN"/>
              </w:rPr>
              <w:instrText xml:space="preserve">,√)</w:instrText>
            </w:r>
            <w:r>
              <w:rPr>
                <w:rFonts w:hint="eastAsia" w:ascii="宋体" w:hAnsi="宋体" w:eastAsia="宋体" w:cs="宋体"/>
                <w:kern w:val="0"/>
                <w:sz w:val="21"/>
                <w:szCs w:val="21"/>
                <w:highlight w:val="none"/>
                <w:lang w:val="zh-CN"/>
              </w:rPr>
              <w:fldChar w:fldCharType="end"/>
            </w:r>
            <w:r>
              <w:rPr>
                <w:rFonts w:hint="eastAsia" w:ascii="宋体" w:hAnsi="宋体" w:eastAsia="宋体" w:cs="宋体"/>
                <w:sz w:val="21"/>
                <w:szCs w:val="21"/>
                <w:highlight w:val="none"/>
              </w:rPr>
              <w:t>不接受</w:t>
            </w:r>
          </w:p>
          <w:p w14:paraId="3C449E6C">
            <w:pPr>
              <w:keepLines w:val="0"/>
              <w:widowControl/>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highlight w:val="none"/>
              </w:rPr>
              <w:t>□</w:t>
            </w:r>
            <w:r>
              <w:rPr>
                <w:rFonts w:hint="eastAsia" w:ascii="宋体" w:hAnsi="宋体" w:eastAsia="宋体" w:cs="宋体"/>
                <w:sz w:val="21"/>
                <w:szCs w:val="21"/>
                <w:highlight w:val="none"/>
              </w:rPr>
              <w:t>接受，</w:t>
            </w:r>
            <w:r>
              <w:rPr>
                <w:rFonts w:hint="eastAsia" w:ascii="宋体" w:hAnsi="宋体" w:eastAsia="宋体" w:cs="宋体"/>
                <w:sz w:val="21"/>
                <w:szCs w:val="21"/>
                <w:highlight w:val="none"/>
              </w:rPr>
              <w:t>联合体投标的，应满足下列要求：</w:t>
            </w:r>
            <w:r>
              <w:rPr>
                <w:rFonts w:hint="eastAsia" w:ascii="宋体" w:hAnsi="宋体" w:eastAsia="宋体" w:cs="宋体"/>
                <w:color w:val="auto"/>
                <w:sz w:val="21"/>
                <w:szCs w:val="21"/>
                <w:highlight w:val="none"/>
                <w:lang w:val="en-US" w:eastAsia="zh-CN"/>
              </w:rPr>
              <w:t>/</w:t>
            </w:r>
          </w:p>
        </w:tc>
      </w:tr>
      <w:tr w14:paraId="29727569">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4D443B6A">
            <w:pPr>
              <w:keepLines w:val="0"/>
              <w:kinsoku/>
              <w:wordWrap/>
              <w:overflowPunct/>
              <w:topLinePunct w:val="0"/>
              <w:bidi w:val="0"/>
              <w:adjustRightInd w:val="0"/>
              <w:snapToGrid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highlight w:val="none"/>
              </w:rPr>
              <w:t>1.4.</w:t>
            </w:r>
            <w:r>
              <w:rPr>
                <w:rFonts w:hint="eastAsia" w:ascii="宋体" w:hAnsi="宋体" w:eastAsia="宋体" w:cs="宋体"/>
                <w:sz w:val="21"/>
                <w:szCs w:val="21"/>
                <w:highlight w:val="none"/>
              </w:rPr>
              <w:t>3</w:t>
            </w:r>
          </w:p>
        </w:tc>
        <w:tc>
          <w:tcPr>
            <w:tcW w:w="2006" w:type="dxa"/>
            <w:tcBorders>
              <w:top w:val="single" w:color="000000" w:sz="4" w:space="0"/>
              <w:left w:val="single" w:color="000000" w:sz="4" w:space="0"/>
              <w:bottom w:val="single" w:color="000000" w:sz="4" w:space="0"/>
              <w:right w:val="single" w:color="000000" w:sz="4" w:space="0"/>
            </w:tcBorders>
            <w:vAlign w:val="center"/>
          </w:tcPr>
          <w:p w14:paraId="44BF70D2">
            <w:pPr>
              <w:pStyle w:val="15"/>
              <w:keepNext/>
              <w:keepLines w:val="0"/>
              <w:shd w:val="clear" w:color="auto" w:fill="auto"/>
              <w:kinsoku/>
              <w:wordWrap/>
              <w:overflowPunct/>
              <w:topLinePunct w:val="0"/>
              <w:bidi w:val="0"/>
              <w:spacing w:line="360" w:lineRule="exact"/>
              <w:ind w:firstLine="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投标人不得存在的</w:t>
            </w:r>
          </w:p>
          <w:p w14:paraId="44A73B7A">
            <w:pPr>
              <w:keepLines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highlight w:val="none"/>
              </w:rPr>
              <w:t>其他关联情形</w:t>
            </w:r>
          </w:p>
        </w:tc>
        <w:tc>
          <w:tcPr>
            <w:tcW w:w="6516" w:type="dxa"/>
            <w:tcBorders>
              <w:top w:val="single" w:color="000000" w:sz="4" w:space="0"/>
              <w:left w:val="single" w:color="000000" w:sz="4" w:space="0"/>
              <w:bottom w:val="single" w:color="000000" w:sz="4" w:space="0"/>
              <w:right w:val="single" w:color="auto" w:sz="12" w:space="0"/>
            </w:tcBorders>
            <w:vAlign w:val="center"/>
          </w:tcPr>
          <w:p w14:paraId="5676DFBF">
            <w:pPr>
              <w:keepLines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kern w:val="0"/>
                <w:sz w:val="21"/>
                <w:szCs w:val="21"/>
                <w:highlight w:val="none"/>
                <w:lang w:val="zh-CN"/>
              </w:rPr>
              <w:t>/</w:t>
            </w:r>
          </w:p>
        </w:tc>
      </w:tr>
      <w:tr w14:paraId="3EB1FBDB">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270EFA83">
            <w:pPr>
              <w:keepLines w:val="0"/>
              <w:kinsoku/>
              <w:wordWrap/>
              <w:overflowPunct/>
              <w:topLinePunct w:val="0"/>
              <w:bidi w:val="0"/>
              <w:adjustRightInd w:val="0"/>
              <w:snapToGrid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highlight w:val="none"/>
              </w:rPr>
              <w:t>1.4.4</w:t>
            </w:r>
          </w:p>
        </w:tc>
        <w:tc>
          <w:tcPr>
            <w:tcW w:w="2006" w:type="dxa"/>
            <w:tcBorders>
              <w:top w:val="single" w:color="000000" w:sz="4" w:space="0"/>
              <w:left w:val="single" w:color="000000" w:sz="4" w:space="0"/>
              <w:bottom w:val="single" w:color="000000" w:sz="4" w:space="0"/>
              <w:right w:val="single" w:color="000000" w:sz="4" w:space="0"/>
            </w:tcBorders>
            <w:vAlign w:val="center"/>
          </w:tcPr>
          <w:p w14:paraId="06A83BE8">
            <w:pPr>
              <w:pStyle w:val="15"/>
              <w:keepNext/>
              <w:keepLines w:val="0"/>
              <w:shd w:val="clear" w:color="auto" w:fill="auto"/>
              <w:kinsoku/>
              <w:wordWrap/>
              <w:overflowPunct/>
              <w:topLinePunct w:val="0"/>
              <w:bidi w:val="0"/>
              <w:spacing w:line="360" w:lineRule="exact"/>
              <w:ind w:firstLine="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投标人不得存在的</w:t>
            </w:r>
          </w:p>
          <w:p w14:paraId="4E24517B">
            <w:pPr>
              <w:pStyle w:val="15"/>
              <w:keepNext/>
              <w:keepLines w:val="0"/>
              <w:shd w:val="clear" w:color="auto" w:fill="auto"/>
              <w:kinsoku/>
              <w:wordWrap/>
              <w:overflowPunct/>
              <w:topLinePunct w:val="0"/>
              <w:bidi w:val="0"/>
              <w:spacing w:line="360" w:lineRule="exact"/>
              <w:ind w:firstLine="0" w:firstLineChars="0"/>
              <w:jc w:val="center"/>
              <w:textAlignment w:val="auto"/>
              <w:rPr>
                <w:rFonts w:hint="eastAsia" w:ascii="宋体" w:hAnsi="宋体" w:eastAsia="宋体" w:cs="宋体"/>
                <w:sz w:val="21"/>
                <w:szCs w:val="21"/>
                <w:lang w:val="en-US" w:bidi="ar-SA"/>
              </w:rPr>
            </w:pPr>
            <w:r>
              <w:rPr>
                <w:rFonts w:hint="eastAsia" w:ascii="宋体" w:hAnsi="宋体" w:eastAsia="宋体" w:cs="宋体"/>
                <w:kern w:val="2"/>
                <w:sz w:val="21"/>
                <w:szCs w:val="21"/>
                <w:highlight w:val="none"/>
                <w:lang w:val="en-US" w:eastAsia="zh-CN" w:bidi="ar-SA"/>
              </w:rPr>
              <w:t>其他不良状况或不良信用记录</w:t>
            </w:r>
          </w:p>
        </w:tc>
        <w:tc>
          <w:tcPr>
            <w:tcW w:w="6516" w:type="dxa"/>
            <w:tcBorders>
              <w:top w:val="single" w:color="000000" w:sz="4" w:space="0"/>
              <w:left w:val="single" w:color="000000" w:sz="4" w:space="0"/>
              <w:bottom w:val="single" w:color="000000" w:sz="4" w:space="0"/>
              <w:right w:val="single" w:color="auto" w:sz="12" w:space="0"/>
            </w:tcBorders>
            <w:vAlign w:val="center"/>
          </w:tcPr>
          <w:p w14:paraId="3CA5C637">
            <w:pPr>
              <w:keepLines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kern w:val="0"/>
                <w:sz w:val="21"/>
                <w:szCs w:val="21"/>
                <w:highlight w:val="none"/>
                <w:lang w:val="zh-CN"/>
              </w:rPr>
              <w:t>/</w:t>
            </w:r>
          </w:p>
        </w:tc>
      </w:tr>
    </w:tbl>
    <w:p w14:paraId="75FEE100">
      <w:pPr>
        <w:keepLines w:val="0"/>
        <w:kinsoku/>
        <w:wordWrap/>
        <w:overflowPunct/>
        <w:topLinePunct w:val="0"/>
        <w:bidi w:val="0"/>
        <w:spacing w:line="360" w:lineRule="exact"/>
        <w:textAlignment w:val="auto"/>
        <w:rPr>
          <w:rFonts w:hint="eastAsia" w:ascii="宋体" w:hAnsi="宋体" w:eastAsia="宋体" w:cs="宋体"/>
          <w:b w:val="0"/>
          <w:bCs w:val="0"/>
          <w:color w:val="auto"/>
          <w:sz w:val="21"/>
          <w:szCs w:val="21"/>
          <w:highlight w:val="none"/>
        </w:rPr>
      </w:pPr>
      <w:bookmarkStart w:id="0" w:name="_Toc6800"/>
      <w:r>
        <w:rPr>
          <w:rFonts w:hint="eastAsia" w:ascii="宋体" w:hAnsi="宋体" w:eastAsia="宋体" w:cs="宋体"/>
          <w:b w:val="0"/>
          <w:bCs w:val="0"/>
          <w:color w:val="auto"/>
          <w:sz w:val="21"/>
          <w:szCs w:val="21"/>
          <w:highlight w:val="none"/>
        </w:rPr>
        <w:t>1.4投标人资格要求（适用于未进行资格预审的）</w:t>
      </w:r>
    </w:p>
    <w:p w14:paraId="3FB28FE5">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1.4.1投标人应具备承担本标段施工监理的资质条件、能力和信誉。</w:t>
      </w:r>
    </w:p>
    <w:p w14:paraId="1A01532D">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(l）资质要求：见投标人须知前附表；</w:t>
      </w:r>
    </w:p>
    <w:p w14:paraId="63C07AF8">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(2）业绩要求：见投标人须知前附表；</w:t>
      </w:r>
    </w:p>
    <w:p w14:paraId="1625934C">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(3）信誉要求：见投标人须知前附表；</w:t>
      </w:r>
    </w:p>
    <w:p w14:paraId="07DDCA75">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(4）总监理工程师资格：见投标人须知前附表</w:t>
      </w:r>
      <w:r>
        <w:rPr>
          <w:rFonts w:hint="eastAsia" w:ascii="宋体" w:hAnsi="宋体" w:eastAsia="宋体" w:cs="宋体"/>
          <w:color w:val="auto"/>
          <w:sz w:val="21"/>
          <w:szCs w:val="21"/>
          <w:highlight w:val="none"/>
          <w:lang w:eastAsia="zh-CN"/>
        </w:rPr>
        <w:t>；</w:t>
      </w:r>
    </w:p>
    <w:p w14:paraId="5F2F941F">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(5）其他要求：见投标人须知前附表。</w:t>
      </w:r>
    </w:p>
    <w:p w14:paraId="64B00675">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需要提交的相关证明材料见本章第3.5款的规定。</w:t>
      </w:r>
    </w:p>
    <w:p w14:paraId="6F39B780">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1.4.2投标人须知前附表规定接受联合体投标的，联合体除应符合本章第1.4.1项和投标人须知前附表的要求外，还应遵守以下规定：</w:t>
      </w:r>
    </w:p>
    <w:p w14:paraId="2F0653C6">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(1）联合体各方应按招标文件提供的格式签订联合体协议书，明确联合体牵头人和各方权利义务，并承诺就中标项目向招标人承担连带责任；</w:t>
      </w:r>
    </w:p>
    <w:p w14:paraId="2F9EDD22">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(2）由同一专业的单位组成的联合体，按照资质等级较低的单位确定资质等级；</w:t>
      </w:r>
    </w:p>
    <w:p w14:paraId="12635B65">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(3）联合体各方不得再以自己名义单独或参加其他联合体在同一标段中投标；</w:t>
      </w:r>
    </w:p>
    <w:p w14:paraId="27B4D2AA">
      <w:pPr>
        <w:keepLines w:val="0"/>
        <w:kinsoku/>
        <w:wordWrap/>
        <w:overflowPunct/>
        <w:topLinePunct w:val="0"/>
        <w:bidi w:val="0"/>
        <w:spacing w:line="360" w:lineRule="exact"/>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14:paraId="7F1CCF22">
      <w:pPr>
        <w:keepLines w:val="0"/>
        <w:kinsoku/>
        <w:wordWrap/>
        <w:overflowPunct/>
        <w:topLinePunct w:val="0"/>
        <w:bidi w:val="0"/>
        <w:spacing w:line="360" w:lineRule="exact"/>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（5）尽管委任了联合体牵头人，但联合体各成员在投标、签订合同与履行合同过程中，仍负有连带的和各自的法律责任。</w:t>
      </w:r>
    </w:p>
    <w:p w14:paraId="73630965">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w:t>
      </w: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rPr>
        <w:t>（包括联合体各成员）不得与本标段相关单位存在下列关联</w:t>
      </w:r>
      <w:r>
        <w:rPr>
          <w:rFonts w:hint="eastAsia" w:ascii="宋体" w:hAnsi="宋体" w:eastAsia="宋体" w:cs="宋体"/>
          <w:color w:val="auto"/>
          <w:sz w:val="21"/>
          <w:szCs w:val="21"/>
          <w:highlight w:val="none"/>
          <w:lang w:val="en-US" w:eastAsia="zh-CN"/>
        </w:rPr>
        <w:t>情形</w:t>
      </w:r>
      <w:r>
        <w:rPr>
          <w:rFonts w:hint="eastAsia" w:ascii="宋体" w:hAnsi="宋体" w:eastAsia="宋体" w:cs="宋体"/>
          <w:color w:val="auto"/>
          <w:sz w:val="21"/>
          <w:szCs w:val="21"/>
          <w:highlight w:val="none"/>
        </w:rPr>
        <w:t>：</w:t>
      </w:r>
    </w:p>
    <w:p w14:paraId="6C6D9194">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(l）为招标人不具有独立法人资格的附属机构（单位）；</w:t>
      </w:r>
    </w:p>
    <w:p w14:paraId="07634964">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(2）与招标人存在利害关系且可能影响招标公正性；</w:t>
      </w:r>
    </w:p>
    <w:p w14:paraId="17ECC24B">
      <w:pPr>
        <w:keepLines w:val="0"/>
        <w:kinsoku/>
        <w:wordWrap/>
        <w:overflowPunct/>
        <w:topLinePunct w:val="0"/>
        <w:bidi w:val="0"/>
        <w:spacing w:line="360" w:lineRule="exact"/>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rPr>
        <w:t>本标段的</w:t>
      </w:r>
      <w:r>
        <w:rPr>
          <w:rFonts w:hint="eastAsia" w:ascii="宋体" w:hAnsi="宋体" w:eastAsia="宋体" w:cs="宋体"/>
          <w:color w:val="auto"/>
          <w:sz w:val="21"/>
          <w:szCs w:val="21"/>
          <w:highlight w:val="none"/>
        </w:rPr>
        <w:t>其他投标人同为一个单位负责人；</w:t>
      </w:r>
    </w:p>
    <w:p w14:paraId="5AE827F9">
      <w:pPr>
        <w:keepLines w:val="0"/>
        <w:kinsoku/>
        <w:wordWrap/>
        <w:overflowPunct/>
        <w:topLinePunct w:val="0"/>
        <w:bidi w:val="0"/>
        <w:spacing w:line="360" w:lineRule="exact"/>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t>与本标段的其他投标人存在控股、管理关系；</w:t>
      </w:r>
    </w:p>
    <w:p w14:paraId="7A0F477E">
      <w:pPr>
        <w:keepLines w:val="0"/>
        <w:kinsoku/>
        <w:wordWrap/>
        <w:overflowPunct/>
        <w:topLinePunct w:val="0"/>
        <w:bidi w:val="0"/>
        <w:spacing w:line="360" w:lineRule="exact"/>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为本标段的代建人；</w:t>
      </w:r>
    </w:p>
    <w:p w14:paraId="63F22DB6">
      <w:pPr>
        <w:keepLines w:val="0"/>
        <w:kinsoku/>
        <w:wordWrap/>
        <w:overflowPunct/>
        <w:topLinePunct w:val="0"/>
        <w:bidi w:val="0"/>
        <w:spacing w:line="360" w:lineRule="exact"/>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t>为本标段</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rPr>
        <w:t>招标代理</w:t>
      </w:r>
      <w:r>
        <w:rPr>
          <w:rFonts w:hint="eastAsia" w:ascii="宋体" w:hAnsi="宋体" w:eastAsia="宋体" w:cs="宋体"/>
          <w:color w:val="auto"/>
          <w:sz w:val="21"/>
          <w:szCs w:val="21"/>
          <w:highlight w:val="none"/>
        </w:rPr>
        <w:t>机构</w:t>
      </w:r>
      <w:r>
        <w:rPr>
          <w:rFonts w:hint="eastAsia" w:ascii="宋体" w:hAnsi="宋体" w:eastAsia="宋体" w:cs="宋体"/>
          <w:color w:val="auto"/>
          <w:sz w:val="21"/>
          <w:szCs w:val="21"/>
          <w:highlight w:val="none"/>
        </w:rPr>
        <w:t>；</w:t>
      </w:r>
    </w:p>
    <w:p w14:paraId="6CB10F9A">
      <w:pPr>
        <w:keepLines w:val="0"/>
        <w:kinsoku/>
        <w:wordWrap/>
        <w:overflowPunct/>
        <w:topLinePunct w:val="0"/>
        <w:bidi w:val="0"/>
        <w:spacing w:line="360" w:lineRule="exact"/>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t>与本标段的代建人或招标代理机构同为一个法定代表人；</w:t>
      </w:r>
    </w:p>
    <w:p w14:paraId="3D23B264">
      <w:pPr>
        <w:keepLines w:val="0"/>
        <w:kinsoku/>
        <w:wordWrap/>
        <w:overflowPunct/>
        <w:topLinePunct w:val="0"/>
        <w:bidi w:val="0"/>
        <w:spacing w:line="360" w:lineRule="exact"/>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t>与本标段的代建人或招标代理机构</w:t>
      </w:r>
      <w:r>
        <w:rPr>
          <w:rFonts w:hint="eastAsia" w:ascii="宋体" w:hAnsi="宋体" w:eastAsia="宋体" w:cs="宋体"/>
          <w:color w:val="auto"/>
          <w:sz w:val="21"/>
          <w:szCs w:val="21"/>
          <w:highlight w:val="none"/>
        </w:rPr>
        <w:t>存在</w:t>
      </w:r>
      <w:r>
        <w:rPr>
          <w:rFonts w:hint="eastAsia" w:ascii="宋体" w:hAnsi="宋体" w:eastAsia="宋体" w:cs="宋体"/>
          <w:color w:val="auto"/>
          <w:sz w:val="21"/>
          <w:szCs w:val="21"/>
          <w:highlight w:val="none"/>
        </w:rPr>
        <w:t>控股或参股</w:t>
      </w:r>
      <w:r>
        <w:rPr>
          <w:rFonts w:hint="eastAsia" w:ascii="宋体" w:hAnsi="宋体" w:eastAsia="宋体" w:cs="宋体"/>
          <w:color w:val="auto"/>
          <w:sz w:val="21"/>
          <w:szCs w:val="21"/>
          <w:highlight w:val="none"/>
        </w:rPr>
        <w:t>关系</w:t>
      </w:r>
      <w:r>
        <w:rPr>
          <w:rFonts w:hint="eastAsia" w:ascii="宋体" w:hAnsi="宋体" w:eastAsia="宋体" w:cs="宋体"/>
          <w:color w:val="auto"/>
          <w:sz w:val="21"/>
          <w:szCs w:val="21"/>
          <w:highlight w:val="none"/>
        </w:rPr>
        <w:t>；</w:t>
      </w:r>
    </w:p>
    <w:p w14:paraId="4CC66FA4">
      <w:pPr>
        <w:keepLines w:val="0"/>
        <w:kinsoku/>
        <w:wordWrap/>
        <w:overflowPunct/>
        <w:topLinePunct w:val="0"/>
        <w:bidi w:val="0"/>
        <w:spacing w:line="360" w:lineRule="exact"/>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（9）与本标段对应工程的施工承包人以及建筑材料、建筑构配件和设备供应商有隶属关系或其他利害关系；</w:t>
      </w:r>
    </w:p>
    <w:p w14:paraId="59EC8490">
      <w:pPr>
        <w:keepLines w:val="0"/>
        <w:kinsoku/>
        <w:wordWrap/>
        <w:overflowPunct/>
        <w:topLinePunct w:val="0"/>
        <w:bidi w:val="0"/>
        <w:spacing w:line="360" w:lineRule="exact"/>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（10）法律法规或投标人须知前附表规定的其他情形。</w:t>
      </w:r>
    </w:p>
    <w:p w14:paraId="237C41BE">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rPr>
        <w:t>（包括联合体各成员）不得存在下列不良状况或不良信用记录</w:t>
      </w:r>
      <w:r>
        <w:rPr>
          <w:rFonts w:hint="eastAsia" w:ascii="宋体" w:hAnsi="宋体" w:eastAsia="宋体" w:cs="宋体"/>
          <w:color w:val="auto"/>
          <w:sz w:val="21"/>
          <w:szCs w:val="21"/>
          <w:highlight w:val="none"/>
        </w:rPr>
        <w:t>：</w:t>
      </w:r>
    </w:p>
    <w:p w14:paraId="41B2AAA2">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被省级及以上交通运输主管部门取消招标项目所在地的投标资格且处于有效期内；</w:t>
      </w:r>
    </w:p>
    <w:p w14:paraId="690E4F6C">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rPr>
        <w:t>被责令停业</w:t>
      </w:r>
      <w:r>
        <w:rPr>
          <w:rFonts w:hint="eastAsia" w:ascii="宋体" w:hAnsi="宋体" w:eastAsia="宋体" w:cs="宋体"/>
          <w:color w:val="auto"/>
          <w:sz w:val="21"/>
          <w:szCs w:val="21"/>
          <w:highlight w:val="none"/>
        </w:rPr>
        <w:t>，暂扣或吊销执照，或吊销资质证书；</w:t>
      </w:r>
    </w:p>
    <w:p w14:paraId="1D720D9C">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（3）进入清算程序，或被宣告破产，或其他丧失履约能力的情形；</w:t>
      </w:r>
    </w:p>
    <w:p w14:paraId="1F74A208">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（4）在国家企业信用信息公示系统（http://www.gsxt.gov.cn/）中被列入严重违法失信企业名单；</w:t>
      </w:r>
    </w:p>
    <w:p w14:paraId="2CAEED95">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（5）在“信用中国”网站（http://www.creditchina.gov.cn/）中被列入失信被执行人名单；</w:t>
      </w:r>
    </w:p>
    <w:p w14:paraId="7E44751A">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（6）投标人或其法定代表人、拟委任的总监理工程师在近三年内有行贿犯罪行为的；</w:t>
      </w:r>
    </w:p>
    <w:p w14:paraId="0AE5953F">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（7）法律法规或投标人须知前附表规定的其他情形。</w:t>
      </w:r>
    </w:p>
    <w:p w14:paraId="245F5011">
      <w:pPr>
        <w:keepLines w:val="0"/>
        <w:kinsoku/>
        <w:wordWrap/>
        <w:overflowPunct/>
        <w:topLinePunct w:val="0"/>
        <w:bidi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rPr>
        <w:t>（包括联合体各成员）应进入交通运输部“全国公路建设市场监督管理系统（https://hwdms.mot.gov.cn</w:t>
      </w:r>
      <w:r>
        <w:rPr>
          <w:rFonts w:hint="eastAsia" w:ascii="宋体" w:hAnsi="宋体" w:eastAsia="宋体" w:cs="宋体"/>
          <w:color w:val="auto"/>
          <w:sz w:val="21"/>
          <w:szCs w:val="21"/>
          <w:highlight w:val="none"/>
          <w:lang w:eastAsia="en-US"/>
        </w:rPr>
        <w:t>)</w:t>
      </w:r>
      <w:r>
        <w:rPr>
          <w:rFonts w:hint="eastAsia" w:ascii="宋体" w:hAnsi="宋体" w:eastAsia="宋体" w:cs="宋体"/>
          <w:color w:val="auto"/>
          <w:sz w:val="21"/>
          <w:szCs w:val="21"/>
          <w:highlight w:val="none"/>
        </w:rPr>
        <w:t>”中的公路工程施工监理资质企业名录，且投标人名称和资质与该名录中的相应企业名称和资质完全一致。投标人不满足本项规定条件的，将被否决投标。</w:t>
      </w:r>
      <w:r>
        <w:rPr>
          <w:rStyle w:val="13"/>
          <w:rFonts w:hint="eastAsia" w:ascii="宋体" w:hAnsi="宋体" w:eastAsia="宋体" w:cs="宋体"/>
          <w:color w:val="auto"/>
          <w:sz w:val="21"/>
          <w:szCs w:val="21"/>
          <w:highlight w:val="none"/>
        </w:rPr>
        <w:footnoteReference w:id="0"/>
      </w:r>
    </w:p>
    <w:p w14:paraId="30F12B2F">
      <w:pPr>
        <w:keepLines w:val="0"/>
        <w:kinsoku/>
        <w:wordWrap/>
        <w:overflowPunct/>
        <w:topLinePunct w:val="0"/>
        <w:bidi w:val="0"/>
        <w:spacing w:line="360" w:lineRule="exact"/>
        <w:ind w:firstLine="420" w:firstLineChars="200"/>
        <w:textAlignment w:val="auto"/>
        <w:rPr>
          <w:rFonts w:hint="eastAsia" w:ascii="宋体" w:hAnsi="宋体" w:eastAsia="宋体" w:cs="宋体"/>
          <w:sz w:val="21"/>
          <w:szCs w:val="21"/>
        </w:rPr>
      </w:pPr>
    </w:p>
    <w:bookmarkEnd w:id="0"/>
    <w:p w14:paraId="0A8BA1D6">
      <w:pPr>
        <w:keepLines w:val="0"/>
        <w:kinsoku/>
        <w:wordWrap/>
        <w:overflowPunct/>
        <w:topLinePunct w:val="0"/>
        <w:bidi w:val="0"/>
        <w:spacing w:beforeLines="100" w:line="360" w:lineRule="exact"/>
        <w:jc w:val="center"/>
        <w:textAlignment w:val="auto"/>
        <w:outlineLvl w:val="1"/>
        <w:rPr>
          <w:rFonts w:hint="eastAsia" w:ascii="宋体" w:hAnsi="宋体" w:eastAsia="宋体" w:cs="宋体"/>
          <w:b/>
          <w:sz w:val="21"/>
          <w:szCs w:val="21"/>
          <w:highlight w:val="none"/>
        </w:rPr>
      </w:pPr>
      <w:bookmarkStart w:id="1" w:name="_Toc16423"/>
      <w:r>
        <w:rPr>
          <w:rFonts w:hint="eastAsia" w:ascii="宋体" w:hAnsi="宋体" w:eastAsia="宋体" w:cs="宋体"/>
          <w:b/>
          <w:sz w:val="21"/>
          <w:szCs w:val="21"/>
          <w:highlight w:val="none"/>
        </w:rPr>
        <w:t>附录1资格审查条件（资质最低要求）</w:t>
      </w:r>
      <w:bookmarkEnd w:id="1"/>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8358"/>
      </w:tblGrid>
      <w:tr w14:paraId="20620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58" w:type="dxa"/>
            <w:tcBorders>
              <w:top w:val="single" w:color="auto" w:sz="12" w:space="0"/>
              <w:left w:val="single" w:color="auto" w:sz="12" w:space="0"/>
            </w:tcBorders>
            <w:vAlign w:val="center"/>
          </w:tcPr>
          <w:p w14:paraId="33A73B1B">
            <w:pPr>
              <w:keepLines w:val="0"/>
              <w:kinsoku/>
              <w:wordWrap/>
              <w:overflowPunct/>
              <w:topLinePunct w:val="0"/>
              <w:bidi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标段</w:t>
            </w:r>
          </w:p>
        </w:tc>
        <w:tc>
          <w:tcPr>
            <w:tcW w:w="8358" w:type="dxa"/>
            <w:tcBorders>
              <w:top w:val="single" w:color="auto" w:sz="12" w:space="0"/>
              <w:right w:val="single" w:color="auto" w:sz="12" w:space="0"/>
            </w:tcBorders>
            <w:vAlign w:val="center"/>
          </w:tcPr>
          <w:p w14:paraId="2FF153EB">
            <w:pPr>
              <w:keepLines w:val="0"/>
              <w:kinsoku/>
              <w:wordWrap/>
              <w:overflowPunct/>
              <w:topLinePunct w:val="0"/>
              <w:bidi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资质要求</w:t>
            </w:r>
          </w:p>
        </w:tc>
      </w:tr>
      <w:tr w14:paraId="19F26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158" w:type="dxa"/>
            <w:tcBorders>
              <w:left w:val="single" w:color="auto" w:sz="12" w:space="0"/>
            </w:tcBorders>
            <w:vAlign w:val="center"/>
          </w:tcPr>
          <w:p w14:paraId="2FF06F87">
            <w:pPr>
              <w:pStyle w:val="7"/>
              <w:keepLines w:val="0"/>
              <w:kinsoku/>
              <w:wordWrap/>
              <w:overflowPunct/>
              <w:topLinePunct w:val="0"/>
              <w:bidi w:val="0"/>
              <w:spacing w:line="3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BC26JL01</w:t>
            </w:r>
          </w:p>
        </w:tc>
        <w:tc>
          <w:tcPr>
            <w:tcW w:w="8358" w:type="dxa"/>
            <w:tcBorders>
              <w:right w:val="single" w:color="auto" w:sz="12" w:space="0"/>
            </w:tcBorders>
            <w:vAlign w:val="center"/>
          </w:tcPr>
          <w:p w14:paraId="5A9A1183">
            <w:pPr>
              <w:keepLines w:val="0"/>
              <w:kinsoku/>
              <w:wordWrap/>
              <w:overflowPunct/>
              <w:topLinePunct w:val="0"/>
              <w:bidi w:val="0"/>
              <w:spacing w:line="360" w:lineRule="exact"/>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具备交通运输主管部门</w:t>
            </w:r>
            <w:r>
              <w:rPr>
                <w:rFonts w:hint="eastAsia" w:ascii="宋体" w:hAnsi="宋体" w:eastAsia="宋体" w:cs="宋体"/>
                <w:sz w:val="21"/>
                <w:szCs w:val="21"/>
                <w:highlight w:val="none"/>
                <w:lang w:val="en-US" w:eastAsia="zh-CN"/>
              </w:rPr>
              <w:t>颁发</w:t>
            </w:r>
            <w:r>
              <w:rPr>
                <w:rFonts w:hint="eastAsia" w:ascii="宋体" w:hAnsi="宋体" w:eastAsia="宋体" w:cs="宋体"/>
                <w:sz w:val="21"/>
                <w:szCs w:val="21"/>
                <w:highlight w:val="none"/>
              </w:rPr>
              <w:t>的公路工程监理企业甲级或乙级资质</w:t>
            </w:r>
            <w:r>
              <w:rPr>
                <w:rFonts w:hint="eastAsia" w:ascii="宋体" w:hAnsi="宋体" w:eastAsia="宋体" w:cs="宋体"/>
                <w:sz w:val="21"/>
                <w:szCs w:val="21"/>
                <w:highlight w:val="none"/>
                <w:lang w:eastAsia="zh-CN"/>
              </w:rPr>
              <w:t>。</w:t>
            </w:r>
          </w:p>
        </w:tc>
      </w:tr>
      <w:tr w14:paraId="21317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158" w:type="dxa"/>
            <w:tcBorders>
              <w:left w:val="single" w:color="auto" w:sz="12" w:space="0"/>
              <w:bottom w:val="single" w:color="auto" w:sz="12" w:space="0"/>
            </w:tcBorders>
            <w:vAlign w:val="center"/>
          </w:tcPr>
          <w:p w14:paraId="42BC15D7">
            <w:pPr>
              <w:pStyle w:val="7"/>
              <w:keepLines w:val="0"/>
              <w:kinsoku/>
              <w:wordWrap/>
              <w:overflowPunct/>
              <w:topLinePunct w:val="0"/>
              <w:bidi w:val="0"/>
              <w:spacing w:line="3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BC26SY01</w:t>
            </w:r>
          </w:p>
        </w:tc>
        <w:tc>
          <w:tcPr>
            <w:tcW w:w="8358" w:type="dxa"/>
            <w:tcBorders>
              <w:bottom w:val="single" w:color="auto" w:sz="12" w:space="0"/>
              <w:right w:val="single" w:color="auto" w:sz="12" w:space="0"/>
            </w:tcBorders>
            <w:vAlign w:val="center"/>
          </w:tcPr>
          <w:p w14:paraId="4380E07B">
            <w:pPr>
              <w:keepLines w:val="0"/>
              <w:kinsoku/>
              <w:wordWrap/>
              <w:overflowPunct/>
              <w:topLinePunct w:val="0"/>
              <w:bidi w:val="0"/>
              <w:spacing w:line="360" w:lineRule="exact"/>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具备（或其下属非独立法人机构具备）交通运输主管部门</w:t>
            </w:r>
            <w:r>
              <w:rPr>
                <w:rFonts w:hint="eastAsia" w:ascii="宋体" w:hAnsi="宋体" w:eastAsia="宋体" w:cs="宋体"/>
                <w:sz w:val="21"/>
                <w:szCs w:val="21"/>
                <w:highlight w:val="none"/>
                <w:lang w:val="en-US" w:eastAsia="zh-CN"/>
              </w:rPr>
              <w:t>颁发</w:t>
            </w:r>
            <w:r>
              <w:rPr>
                <w:rFonts w:hint="eastAsia" w:ascii="宋体" w:hAnsi="宋体" w:eastAsia="宋体" w:cs="宋体"/>
                <w:sz w:val="21"/>
                <w:szCs w:val="21"/>
                <w:highlight w:val="none"/>
              </w:rPr>
              <w:t>的公路</w:t>
            </w:r>
            <w:r>
              <w:rPr>
                <w:rFonts w:hint="eastAsia" w:ascii="宋体" w:hAnsi="宋体" w:eastAsia="宋体" w:cs="宋体"/>
                <w:sz w:val="21"/>
                <w:szCs w:val="21"/>
                <w:highlight w:val="none"/>
                <w:lang w:val="en-US" w:eastAsia="zh-CN"/>
              </w:rPr>
              <w:t>水运</w:t>
            </w:r>
            <w:r>
              <w:rPr>
                <w:rFonts w:hint="eastAsia" w:ascii="宋体" w:hAnsi="宋体" w:eastAsia="宋体" w:cs="宋体"/>
                <w:sz w:val="21"/>
                <w:szCs w:val="21"/>
                <w:highlight w:val="none"/>
              </w:rPr>
              <w:t>工程质量检测机构</w:t>
            </w:r>
            <w:r>
              <w:rPr>
                <w:rFonts w:hint="eastAsia" w:ascii="宋体" w:hAnsi="宋体" w:eastAsia="宋体" w:cs="宋体"/>
                <w:sz w:val="21"/>
                <w:szCs w:val="21"/>
                <w:highlight w:val="none"/>
                <w:lang w:val="en-US" w:eastAsia="zh-CN"/>
              </w:rPr>
              <w:t>公路工程专业</w:t>
            </w:r>
            <w:r>
              <w:rPr>
                <w:rFonts w:hint="eastAsia" w:ascii="宋体" w:hAnsi="宋体" w:eastAsia="宋体" w:cs="宋体"/>
                <w:sz w:val="21"/>
                <w:szCs w:val="21"/>
                <w:highlight w:val="none"/>
              </w:rPr>
              <w:t>甲级或乙级资质</w:t>
            </w:r>
            <w:r>
              <w:rPr>
                <w:rFonts w:hint="eastAsia" w:ascii="宋体" w:hAnsi="宋体" w:eastAsia="宋体" w:cs="宋体"/>
                <w:sz w:val="21"/>
                <w:szCs w:val="21"/>
                <w:highlight w:val="none"/>
                <w:lang w:eastAsia="zh-CN"/>
              </w:rPr>
              <w:t>。</w:t>
            </w:r>
          </w:p>
        </w:tc>
      </w:tr>
    </w:tbl>
    <w:p w14:paraId="5B33B7FE">
      <w:pPr>
        <w:keepLines w:val="0"/>
        <w:kinsoku/>
        <w:wordWrap/>
        <w:overflowPunct/>
        <w:topLinePunct w:val="0"/>
        <w:bidi w:val="0"/>
        <w:spacing w:beforeLines="100" w:line="360" w:lineRule="exact"/>
        <w:jc w:val="center"/>
        <w:textAlignment w:val="auto"/>
        <w:outlineLvl w:val="1"/>
        <w:rPr>
          <w:rFonts w:hint="eastAsia" w:ascii="宋体" w:hAnsi="宋体" w:eastAsia="宋体" w:cs="宋体"/>
          <w:b/>
          <w:sz w:val="21"/>
          <w:szCs w:val="21"/>
          <w:highlight w:val="none"/>
        </w:rPr>
      </w:pPr>
      <w:bookmarkStart w:id="2" w:name="_Toc9192"/>
      <w:r>
        <w:rPr>
          <w:rFonts w:hint="eastAsia" w:ascii="宋体" w:hAnsi="宋体" w:eastAsia="宋体" w:cs="宋体"/>
          <w:b/>
          <w:sz w:val="21"/>
          <w:szCs w:val="21"/>
          <w:highlight w:val="none"/>
        </w:rPr>
        <w:t>附录2资格审查条件（业绩最低要求）</w:t>
      </w:r>
      <w:bookmarkEnd w:id="2"/>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14:paraId="2E7DD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540" w:type="dxa"/>
            <w:tcBorders>
              <w:top w:val="single" w:color="auto" w:sz="12" w:space="0"/>
              <w:left w:val="single" w:color="auto" w:sz="12" w:space="0"/>
              <w:right w:val="single" w:color="auto" w:sz="12" w:space="0"/>
            </w:tcBorders>
            <w:vAlign w:val="center"/>
          </w:tcPr>
          <w:p w14:paraId="00AC367E">
            <w:pPr>
              <w:keepLines w:val="0"/>
              <w:kinsoku/>
              <w:wordWrap/>
              <w:overflowPunct/>
              <w:topLinePunct w:val="0"/>
              <w:bidi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业绩要求</w:t>
            </w:r>
          </w:p>
        </w:tc>
      </w:tr>
      <w:tr w14:paraId="7168C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540" w:type="dxa"/>
            <w:tcBorders>
              <w:left w:val="single" w:color="auto" w:sz="12" w:space="0"/>
              <w:bottom w:val="single" w:color="auto" w:sz="12" w:space="0"/>
              <w:right w:val="single" w:color="auto" w:sz="12" w:space="0"/>
            </w:tcBorders>
            <w:vAlign w:val="center"/>
          </w:tcPr>
          <w:p w14:paraId="03487CF4">
            <w:pPr>
              <w:keepLines w:val="0"/>
              <w:kinsoku/>
              <w:wordWrap/>
              <w:overflowPunct/>
              <w:topLinePunct w:val="0"/>
              <w:bidi w:val="0"/>
              <w:spacing w:line="36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无</w:t>
            </w:r>
          </w:p>
        </w:tc>
      </w:tr>
    </w:tbl>
    <w:p w14:paraId="7EB4ED83">
      <w:pPr>
        <w:keepLines w:val="0"/>
        <w:kinsoku/>
        <w:wordWrap/>
        <w:overflowPunct/>
        <w:topLinePunct w:val="0"/>
        <w:bidi w:val="0"/>
        <w:spacing w:beforeLines="100" w:line="360" w:lineRule="exact"/>
        <w:jc w:val="center"/>
        <w:textAlignment w:val="auto"/>
        <w:outlineLvl w:val="1"/>
        <w:rPr>
          <w:rFonts w:hint="eastAsia" w:ascii="宋体" w:hAnsi="宋体" w:eastAsia="宋体" w:cs="宋体"/>
          <w:b/>
          <w:sz w:val="21"/>
          <w:szCs w:val="21"/>
          <w:highlight w:val="none"/>
        </w:rPr>
      </w:pPr>
      <w:bookmarkStart w:id="3" w:name="_Toc22140"/>
      <w:r>
        <w:rPr>
          <w:rFonts w:hint="eastAsia" w:ascii="宋体" w:hAnsi="宋体" w:eastAsia="宋体" w:cs="宋体"/>
          <w:b/>
          <w:sz w:val="21"/>
          <w:szCs w:val="21"/>
          <w:highlight w:val="none"/>
        </w:rPr>
        <w:t>附录3资格审查条件（信誉最低要求）</w:t>
      </w:r>
      <w:bookmarkEnd w:id="3"/>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14:paraId="0E3BC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540" w:type="dxa"/>
            <w:tcBorders>
              <w:top w:val="single" w:color="auto" w:sz="12" w:space="0"/>
              <w:left w:val="single" w:color="auto" w:sz="12" w:space="0"/>
              <w:right w:val="single" w:color="auto" w:sz="12" w:space="0"/>
            </w:tcBorders>
            <w:vAlign w:val="center"/>
          </w:tcPr>
          <w:p w14:paraId="46EE78C8">
            <w:pPr>
              <w:keepLines w:val="0"/>
              <w:kinsoku/>
              <w:wordWrap/>
              <w:overflowPunct/>
              <w:topLinePunct w:val="0"/>
              <w:bidi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信誉要求</w:t>
            </w:r>
          </w:p>
        </w:tc>
      </w:tr>
      <w:tr w14:paraId="5C107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540" w:type="dxa"/>
            <w:tcBorders>
              <w:left w:val="single" w:color="auto" w:sz="12" w:space="0"/>
              <w:bottom w:val="single" w:color="auto" w:sz="12" w:space="0"/>
              <w:right w:val="single" w:color="auto" w:sz="12" w:space="0"/>
            </w:tcBorders>
            <w:vAlign w:val="center"/>
          </w:tcPr>
          <w:p w14:paraId="70C66292">
            <w:pPr>
              <w:keepLines w:val="0"/>
              <w:kinsoku/>
              <w:wordWrap/>
              <w:overflowPunct/>
              <w:topLinePunct w:val="0"/>
              <w:bidi w:val="0"/>
              <w:spacing w:line="36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无</w:t>
            </w:r>
          </w:p>
        </w:tc>
      </w:tr>
    </w:tbl>
    <w:p w14:paraId="53C0E1E0">
      <w:pPr>
        <w:keepLines w:val="0"/>
        <w:kinsoku/>
        <w:wordWrap/>
        <w:overflowPunct/>
        <w:topLinePunct w:val="0"/>
        <w:bidi w:val="0"/>
        <w:spacing w:beforeLines="100" w:line="360" w:lineRule="exact"/>
        <w:jc w:val="center"/>
        <w:textAlignment w:val="auto"/>
        <w:outlineLvl w:val="1"/>
        <w:rPr>
          <w:rFonts w:hint="eastAsia" w:ascii="宋体" w:hAnsi="宋体" w:eastAsia="宋体" w:cs="宋体"/>
          <w:b/>
          <w:sz w:val="21"/>
          <w:szCs w:val="21"/>
          <w:highlight w:val="none"/>
        </w:rPr>
      </w:pPr>
      <w:bookmarkStart w:id="4" w:name="_Toc411418983"/>
      <w:bookmarkStart w:id="5" w:name="_Toc20071"/>
      <w:bookmarkStart w:id="6" w:name="_Toc346800722"/>
      <w:r>
        <w:rPr>
          <w:rFonts w:hint="eastAsia" w:ascii="宋体" w:hAnsi="宋体" w:eastAsia="宋体" w:cs="宋体"/>
          <w:b/>
          <w:sz w:val="21"/>
          <w:szCs w:val="21"/>
          <w:highlight w:val="none"/>
        </w:rPr>
        <w:t>附录4 资格审查条件（总监理工程师</w:t>
      </w:r>
      <w:r>
        <w:rPr>
          <w:rFonts w:hint="eastAsia" w:ascii="宋体" w:hAnsi="宋体" w:eastAsia="宋体" w:cs="宋体"/>
          <w:b/>
          <w:sz w:val="21"/>
          <w:szCs w:val="21"/>
          <w:highlight w:val="none"/>
          <w:lang w:val="en-US" w:eastAsia="zh-CN"/>
        </w:rPr>
        <w:t>和试验检测负责人</w:t>
      </w:r>
      <w:r>
        <w:rPr>
          <w:rFonts w:hint="eastAsia" w:ascii="宋体" w:hAnsi="宋体" w:eastAsia="宋体" w:cs="宋体"/>
          <w:b/>
          <w:sz w:val="21"/>
          <w:szCs w:val="21"/>
          <w:highlight w:val="none"/>
        </w:rPr>
        <w:t>最低要求）</w:t>
      </w:r>
      <w:bookmarkEnd w:id="4"/>
      <w:bookmarkEnd w:id="5"/>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2"/>
        <w:gridCol w:w="960"/>
        <w:gridCol w:w="885"/>
        <w:gridCol w:w="5205"/>
        <w:gridCol w:w="1301"/>
      </w:tblGrid>
      <w:tr w14:paraId="62FA1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182" w:type="dxa"/>
            <w:tcBorders>
              <w:top w:val="single" w:color="auto" w:sz="12" w:space="0"/>
              <w:left w:val="single" w:color="auto" w:sz="12" w:space="0"/>
            </w:tcBorders>
            <w:vAlign w:val="center"/>
          </w:tcPr>
          <w:p w14:paraId="7A42F058">
            <w:pPr>
              <w:keepLines w:val="0"/>
              <w:kinsoku/>
              <w:wordWrap/>
              <w:overflowPunct/>
              <w:topLinePunct w:val="0"/>
              <w:bidi w:val="0"/>
              <w:spacing w:line="3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标段</w:t>
            </w:r>
          </w:p>
        </w:tc>
        <w:tc>
          <w:tcPr>
            <w:tcW w:w="960" w:type="dxa"/>
            <w:tcBorders>
              <w:top w:val="single" w:color="auto" w:sz="12" w:space="0"/>
              <w:left w:val="single" w:color="auto" w:sz="4" w:space="0"/>
            </w:tcBorders>
            <w:vAlign w:val="center"/>
          </w:tcPr>
          <w:p w14:paraId="0CE8ADB3">
            <w:pPr>
              <w:keepLines w:val="0"/>
              <w:kinsoku/>
              <w:wordWrap/>
              <w:overflowPunct/>
              <w:topLinePunct w:val="0"/>
              <w:bidi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人员</w:t>
            </w:r>
          </w:p>
        </w:tc>
        <w:tc>
          <w:tcPr>
            <w:tcW w:w="885" w:type="dxa"/>
            <w:tcBorders>
              <w:top w:val="single" w:color="auto" w:sz="12" w:space="0"/>
            </w:tcBorders>
            <w:vAlign w:val="center"/>
          </w:tcPr>
          <w:p w14:paraId="6431B333">
            <w:pPr>
              <w:keepLines w:val="0"/>
              <w:kinsoku/>
              <w:wordWrap/>
              <w:overflowPunct/>
              <w:topLinePunct w:val="0"/>
              <w:bidi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数量</w:t>
            </w:r>
          </w:p>
          <w:p w14:paraId="698724FE">
            <w:pPr>
              <w:keepLines w:val="0"/>
              <w:kinsoku/>
              <w:wordWrap/>
              <w:overflowPunct/>
              <w:topLinePunct w:val="0"/>
              <w:bidi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（人）</w:t>
            </w:r>
          </w:p>
        </w:tc>
        <w:tc>
          <w:tcPr>
            <w:tcW w:w="5205" w:type="dxa"/>
            <w:tcBorders>
              <w:top w:val="single" w:color="auto" w:sz="12" w:space="0"/>
              <w:right w:val="single" w:color="auto" w:sz="4" w:space="0"/>
            </w:tcBorders>
            <w:vAlign w:val="center"/>
          </w:tcPr>
          <w:p w14:paraId="6AEA1BD6">
            <w:pPr>
              <w:keepLines w:val="0"/>
              <w:widowControl/>
              <w:kinsoku/>
              <w:wordWrap/>
              <w:overflowPunct/>
              <w:topLinePunct w:val="0"/>
              <w:bidi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资格要求</w:t>
            </w:r>
          </w:p>
        </w:tc>
        <w:tc>
          <w:tcPr>
            <w:tcW w:w="1301" w:type="dxa"/>
            <w:tcBorders>
              <w:top w:val="single" w:color="auto" w:sz="12" w:space="0"/>
              <w:left w:val="single" w:color="auto" w:sz="4" w:space="0"/>
              <w:right w:val="single" w:color="auto" w:sz="12" w:space="0"/>
            </w:tcBorders>
            <w:vAlign w:val="center"/>
          </w:tcPr>
          <w:p w14:paraId="11594FAE">
            <w:pPr>
              <w:keepLines w:val="0"/>
              <w:widowControl/>
              <w:kinsoku/>
              <w:wordWrap/>
              <w:overflowPunct/>
              <w:topLinePunct w:val="0"/>
              <w:bidi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在岗要求</w:t>
            </w:r>
          </w:p>
        </w:tc>
      </w:tr>
      <w:tr w14:paraId="037C3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182" w:type="dxa"/>
            <w:tcBorders>
              <w:left w:val="single" w:color="auto" w:sz="12" w:space="0"/>
            </w:tcBorders>
            <w:vAlign w:val="center"/>
          </w:tcPr>
          <w:p w14:paraId="0568908C">
            <w:pPr>
              <w:pStyle w:val="7"/>
              <w:keepLines w:val="0"/>
              <w:kinsoku/>
              <w:wordWrap/>
              <w:overflowPunct/>
              <w:topLinePunct w:val="0"/>
              <w:bidi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BC26JL01</w:t>
            </w:r>
          </w:p>
        </w:tc>
        <w:tc>
          <w:tcPr>
            <w:tcW w:w="960" w:type="dxa"/>
            <w:tcBorders>
              <w:left w:val="single" w:color="auto" w:sz="4" w:space="0"/>
            </w:tcBorders>
            <w:vAlign w:val="center"/>
          </w:tcPr>
          <w:p w14:paraId="368CB8BD">
            <w:pPr>
              <w:keepLines w:val="0"/>
              <w:kinsoku/>
              <w:wordWrap/>
              <w:overflowPunct/>
              <w:topLinePunct w:val="0"/>
              <w:bidi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总监理</w:t>
            </w:r>
          </w:p>
          <w:p w14:paraId="677B9B8D">
            <w:pPr>
              <w:keepLines w:val="0"/>
              <w:kinsoku/>
              <w:wordWrap/>
              <w:overflowPunct/>
              <w:topLinePunct w:val="0"/>
              <w:bidi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工程师</w:t>
            </w:r>
          </w:p>
        </w:tc>
        <w:tc>
          <w:tcPr>
            <w:tcW w:w="885" w:type="dxa"/>
            <w:vAlign w:val="center"/>
          </w:tcPr>
          <w:p w14:paraId="5BF1BE6A">
            <w:pPr>
              <w:keepLines w:val="0"/>
              <w:kinsoku/>
              <w:wordWrap/>
              <w:overflowPunct/>
              <w:topLinePunct w:val="0"/>
              <w:bidi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5205" w:type="dxa"/>
            <w:tcBorders>
              <w:top w:val="single" w:color="auto" w:sz="8" w:space="0"/>
              <w:bottom w:val="single" w:color="auto" w:sz="8" w:space="0"/>
              <w:right w:val="single" w:color="auto" w:sz="4" w:space="0"/>
            </w:tcBorders>
            <w:vAlign w:val="center"/>
          </w:tcPr>
          <w:p w14:paraId="24F49052">
            <w:pPr>
              <w:keepLines w:val="0"/>
              <w:widowControl/>
              <w:tabs>
                <w:tab w:val="left" w:pos="624"/>
                <w:tab w:val="left" w:pos="909"/>
              </w:tabs>
              <w:kinsoku/>
              <w:wordWrap/>
              <w:overflowPunct/>
              <w:topLinePunct w:val="0"/>
              <w:bidi w:val="0"/>
              <w:spacing w:line="360" w:lineRule="exact"/>
              <w:ind w:left="78"/>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（1）投标人</w:t>
            </w:r>
            <w:r>
              <w:rPr>
                <w:rFonts w:hint="eastAsia" w:ascii="宋体" w:hAnsi="宋体" w:eastAsia="宋体" w:cs="宋体"/>
                <w:b/>
                <w:sz w:val="21"/>
                <w:szCs w:val="21"/>
                <w:highlight w:val="none"/>
              </w:rPr>
              <w:t>自有</w:t>
            </w:r>
            <w:r>
              <w:rPr>
                <w:rFonts w:hint="eastAsia" w:ascii="宋体" w:hAnsi="宋体" w:eastAsia="宋体" w:cs="宋体"/>
                <w:sz w:val="21"/>
                <w:szCs w:val="21"/>
                <w:highlight w:val="none"/>
              </w:rPr>
              <w:t>人员</w:t>
            </w:r>
            <w:r>
              <w:rPr>
                <w:rStyle w:val="13"/>
                <w:rFonts w:hint="eastAsia" w:ascii="宋体" w:hAnsi="宋体" w:eastAsia="宋体" w:cs="宋体"/>
                <w:sz w:val="21"/>
                <w:szCs w:val="21"/>
                <w:highlight w:val="none"/>
              </w:rPr>
              <w:footnoteReference w:id="1"/>
            </w:r>
            <w:r>
              <w:rPr>
                <w:rFonts w:hint="eastAsia" w:ascii="宋体" w:hAnsi="宋体" w:eastAsia="宋体" w:cs="宋体"/>
                <w:sz w:val="21"/>
                <w:szCs w:val="21"/>
                <w:highlight w:val="none"/>
              </w:rPr>
              <w:t>；</w:t>
            </w:r>
          </w:p>
          <w:p w14:paraId="416F1EB8">
            <w:pPr>
              <w:keepLines w:val="0"/>
              <w:widowControl/>
              <w:tabs>
                <w:tab w:val="left" w:pos="624"/>
                <w:tab w:val="left" w:pos="909"/>
              </w:tabs>
              <w:kinsoku/>
              <w:wordWrap/>
              <w:overflowPunct/>
              <w:topLinePunct w:val="0"/>
              <w:bidi w:val="0"/>
              <w:spacing w:line="360" w:lineRule="exact"/>
              <w:ind w:left="78"/>
              <w:jc w:val="left"/>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（2）具有公路</w:t>
            </w:r>
            <w:r>
              <w:rPr>
                <w:rFonts w:hint="eastAsia" w:ascii="宋体" w:hAnsi="宋体" w:eastAsia="宋体" w:cs="宋体"/>
                <w:sz w:val="21"/>
                <w:szCs w:val="21"/>
                <w:highlight w:val="none"/>
                <w:lang w:val="en-US" w:eastAsia="zh-CN"/>
              </w:rPr>
              <w:t>工程</w:t>
            </w:r>
            <w:r>
              <w:rPr>
                <w:rFonts w:hint="eastAsia" w:ascii="宋体" w:hAnsi="宋体" w:eastAsia="宋体" w:cs="宋体"/>
                <w:sz w:val="21"/>
                <w:szCs w:val="21"/>
                <w:highlight w:val="none"/>
              </w:rPr>
              <w:t>相关专业</w:t>
            </w:r>
            <w:r>
              <w:rPr>
                <w:rStyle w:val="13"/>
                <w:rFonts w:hint="eastAsia" w:ascii="宋体" w:hAnsi="宋体" w:eastAsia="宋体" w:cs="宋体"/>
                <w:sz w:val="21"/>
                <w:szCs w:val="21"/>
                <w:highlight w:val="none"/>
              </w:rPr>
              <w:footnoteReference w:id="2"/>
            </w:r>
            <w:r>
              <w:rPr>
                <w:rFonts w:hint="eastAsia" w:ascii="宋体" w:hAnsi="宋体" w:eastAsia="宋体" w:cs="宋体"/>
                <w:b/>
                <w:sz w:val="21"/>
                <w:szCs w:val="21"/>
                <w:highlight w:val="none"/>
              </w:rPr>
              <w:t>高级</w:t>
            </w:r>
            <w:r>
              <w:rPr>
                <w:rFonts w:hint="eastAsia" w:ascii="宋体" w:hAnsi="宋体" w:eastAsia="宋体" w:cs="宋体"/>
                <w:sz w:val="21"/>
                <w:szCs w:val="21"/>
                <w:highlight w:val="none"/>
              </w:rPr>
              <w:t>职</w:t>
            </w:r>
            <w:r>
              <w:rPr>
                <w:rFonts w:hint="eastAsia" w:ascii="宋体" w:hAnsi="宋体" w:eastAsia="宋体" w:cs="宋体"/>
                <w:sz w:val="21"/>
                <w:szCs w:val="21"/>
                <w:highlight w:val="none"/>
              </w:rPr>
              <w:t>称；</w:t>
            </w:r>
          </w:p>
          <w:p w14:paraId="7B7CBCBB">
            <w:pPr>
              <w:keepLines w:val="0"/>
              <w:widowControl/>
              <w:tabs>
                <w:tab w:val="left" w:pos="624"/>
                <w:tab w:val="left" w:pos="909"/>
              </w:tabs>
              <w:kinsoku/>
              <w:wordWrap/>
              <w:overflowPunct/>
              <w:topLinePunct w:val="0"/>
              <w:bidi w:val="0"/>
              <w:spacing w:line="360" w:lineRule="exact"/>
              <w:ind w:left="78"/>
              <w:jc w:val="left"/>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（3）具</w:t>
            </w:r>
            <w:r>
              <w:rPr>
                <w:rFonts w:hint="eastAsia" w:ascii="宋体" w:hAnsi="宋体" w:eastAsia="宋体" w:cs="宋体"/>
                <w:sz w:val="21"/>
                <w:szCs w:val="21"/>
                <w:highlight w:val="none"/>
                <w:lang w:val="en-US" w:eastAsia="zh-CN"/>
              </w:rPr>
              <w:t>有</w:t>
            </w:r>
            <w:r>
              <w:rPr>
                <w:rFonts w:hint="eastAsia" w:ascii="宋体" w:hAnsi="宋体" w:eastAsia="宋体" w:cs="宋体"/>
                <w:sz w:val="21"/>
                <w:szCs w:val="21"/>
                <w:highlight w:val="none"/>
              </w:rPr>
              <w:t>公路工程监理工程师</w:t>
            </w:r>
            <w:r>
              <w:rPr>
                <w:rFonts w:hint="eastAsia" w:ascii="宋体" w:hAnsi="宋体" w:eastAsia="宋体" w:cs="宋体"/>
                <w:sz w:val="21"/>
                <w:szCs w:val="21"/>
                <w:highlight w:val="none"/>
                <w:lang w:val="en-US" w:eastAsia="zh-CN"/>
              </w:rPr>
              <w:t>注册证书</w:t>
            </w:r>
            <w:r>
              <w:rPr>
                <w:rFonts w:hint="eastAsia" w:ascii="宋体" w:hAnsi="宋体" w:eastAsia="宋体" w:cs="宋体"/>
                <w:sz w:val="21"/>
                <w:szCs w:val="21"/>
                <w:highlight w:val="none"/>
              </w:rPr>
              <w:t>。</w:t>
            </w:r>
          </w:p>
        </w:tc>
        <w:tc>
          <w:tcPr>
            <w:tcW w:w="1301" w:type="dxa"/>
            <w:vMerge w:val="restart"/>
            <w:tcBorders>
              <w:top w:val="single" w:color="auto" w:sz="8" w:space="0"/>
              <w:left w:val="single" w:color="auto" w:sz="4" w:space="0"/>
              <w:right w:val="single" w:color="auto" w:sz="12" w:space="0"/>
            </w:tcBorders>
            <w:vAlign w:val="center"/>
          </w:tcPr>
          <w:p w14:paraId="67E1727D">
            <w:pPr>
              <w:keepLines w:val="0"/>
              <w:widowControl/>
              <w:kinsoku/>
              <w:wordWrap/>
              <w:overflowPunct/>
              <w:topLinePunct w:val="0"/>
              <w:bidi w:val="0"/>
              <w:spacing w:line="360" w:lineRule="exact"/>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无在岗项目</w:t>
            </w:r>
            <w:r>
              <w:rPr>
                <w:rFonts w:hint="eastAsia" w:ascii="宋体" w:hAnsi="宋体" w:eastAsia="宋体" w:cs="宋体"/>
                <w:bCs/>
                <w:sz w:val="21"/>
                <w:szCs w:val="21"/>
                <w:highlight w:val="none"/>
              </w:rPr>
              <w:t>（指目前未在其他项目上任职，或虽在其他项目上任职但本项目中标后能够从该项目撤离）</w:t>
            </w:r>
          </w:p>
        </w:tc>
      </w:tr>
      <w:tr w14:paraId="6006E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182" w:type="dxa"/>
            <w:tcBorders>
              <w:left w:val="single" w:color="auto" w:sz="12" w:space="0"/>
              <w:bottom w:val="single" w:color="auto" w:sz="12" w:space="0"/>
            </w:tcBorders>
            <w:vAlign w:val="center"/>
          </w:tcPr>
          <w:p w14:paraId="4B47B5D8">
            <w:pPr>
              <w:pStyle w:val="7"/>
              <w:keepLines w:val="0"/>
              <w:kinsoku/>
              <w:wordWrap/>
              <w:overflowPunct/>
              <w:topLinePunct w:val="0"/>
              <w:bidi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BC26SY01</w:t>
            </w:r>
          </w:p>
        </w:tc>
        <w:tc>
          <w:tcPr>
            <w:tcW w:w="960" w:type="dxa"/>
            <w:tcBorders>
              <w:left w:val="single" w:color="auto" w:sz="4" w:space="0"/>
              <w:bottom w:val="single" w:color="auto" w:sz="12" w:space="0"/>
            </w:tcBorders>
            <w:vAlign w:val="center"/>
          </w:tcPr>
          <w:p w14:paraId="53CE9D52">
            <w:pPr>
              <w:keepLines w:val="0"/>
              <w:kinsoku/>
              <w:wordWrap/>
              <w:overflowPunct/>
              <w:topLinePunct w:val="0"/>
              <w:bidi w:val="0"/>
              <w:spacing w:line="3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试验检测负责人</w:t>
            </w:r>
          </w:p>
        </w:tc>
        <w:tc>
          <w:tcPr>
            <w:tcW w:w="885" w:type="dxa"/>
            <w:tcBorders>
              <w:bottom w:val="single" w:color="auto" w:sz="12" w:space="0"/>
            </w:tcBorders>
            <w:vAlign w:val="center"/>
          </w:tcPr>
          <w:p w14:paraId="0589B299">
            <w:pPr>
              <w:keepLines w:val="0"/>
              <w:kinsoku/>
              <w:wordWrap/>
              <w:overflowPunct/>
              <w:topLinePunct w:val="0"/>
              <w:bidi w:val="0"/>
              <w:spacing w:line="3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5205" w:type="dxa"/>
            <w:tcBorders>
              <w:top w:val="single" w:color="auto" w:sz="8" w:space="0"/>
              <w:bottom w:val="single" w:color="auto" w:sz="12" w:space="0"/>
              <w:right w:val="single" w:color="auto" w:sz="4" w:space="0"/>
            </w:tcBorders>
            <w:vAlign w:val="center"/>
          </w:tcPr>
          <w:p w14:paraId="73719001">
            <w:pPr>
              <w:keepNext w:val="0"/>
              <w:keepLines w:val="0"/>
              <w:pageBreakBefore w:val="0"/>
              <w:widowControl/>
              <w:tabs>
                <w:tab w:val="left" w:pos="624"/>
                <w:tab w:val="left" w:pos="909"/>
              </w:tabs>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（1）投标人</w:t>
            </w:r>
            <w:r>
              <w:rPr>
                <w:rFonts w:hint="eastAsia" w:ascii="宋体" w:hAnsi="宋体" w:eastAsia="宋体" w:cs="宋体"/>
                <w:b/>
                <w:sz w:val="21"/>
                <w:szCs w:val="21"/>
                <w:highlight w:val="none"/>
              </w:rPr>
              <w:t>自有</w:t>
            </w:r>
            <w:r>
              <w:rPr>
                <w:rFonts w:hint="eastAsia" w:ascii="宋体" w:hAnsi="宋体" w:eastAsia="宋体" w:cs="宋体"/>
                <w:sz w:val="21"/>
                <w:szCs w:val="21"/>
                <w:highlight w:val="none"/>
              </w:rPr>
              <w:t>人员；</w:t>
            </w:r>
          </w:p>
          <w:p w14:paraId="040C919D">
            <w:pPr>
              <w:keepNext w:val="0"/>
              <w:keepLines w:val="0"/>
              <w:pageBreakBefore w:val="0"/>
              <w:widowControl/>
              <w:tabs>
                <w:tab w:val="left" w:pos="624"/>
                <w:tab w:val="left" w:pos="909"/>
              </w:tabs>
              <w:kinsoku/>
              <w:wordWrap/>
              <w:overflowPunct/>
              <w:topLinePunct w:val="0"/>
              <w:autoSpaceDE/>
              <w:autoSpaceDN/>
              <w:bidi w:val="0"/>
              <w:adjustRightInd/>
              <w:snapToGrid/>
              <w:spacing w:line="360" w:lineRule="exact"/>
              <w:jc w:val="left"/>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（2）具有公路</w:t>
            </w:r>
            <w:r>
              <w:rPr>
                <w:rFonts w:hint="eastAsia" w:ascii="宋体" w:hAnsi="宋体" w:eastAsia="宋体" w:cs="宋体"/>
                <w:sz w:val="21"/>
                <w:szCs w:val="21"/>
                <w:highlight w:val="none"/>
                <w:lang w:val="en-US" w:eastAsia="zh-CN"/>
              </w:rPr>
              <w:t>工程</w:t>
            </w:r>
            <w:r>
              <w:rPr>
                <w:rFonts w:hint="eastAsia" w:ascii="宋体" w:hAnsi="宋体" w:eastAsia="宋体" w:cs="宋体"/>
                <w:sz w:val="21"/>
                <w:szCs w:val="21"/>
                <w:highlight w:val="none"/>
              </w:rPr>
              <w:t>相关专业</w:t>
            </w:r>
            <w:r>
              <w:rPr>
                <w:rFonts w:hint="eastAsia" w:ascii="宋体" w:hAnsi="宋体" w:eastAsia="宋体" w:cs="宋体"/>
                <w:b/>
                <w:sz w:val="21"/>
                <w:szCs w:val="21"/>
                <w:highlight w:val="none"/>
              </w:rPr>
              <w:t>高级</w:t>
            </w:r>
            <w:r>
              <w:rPr>
                <w:rFonts w:hint="eastAsia" w:ascii="宋体" w:hAnsi="宋体" w:eastAsia="宋体" w:cs="宋体"/>
                <w:sz w:val="21"/>
                <w:szCs w:val="21"/>
                <w:highlight w:val="none"/>
              </w:rPr>
              <w:t>职</w:t>
            </w:r>
            <w:r>
              <w:rPr>
                <w:rFonts w:hint="eastAsia" w:ascii="宋体" w:hAnsi="宋体" w:eastAsia="宋体" w:cs="宋体"/>
                <w:sz w:val="21"/>
                <w:szCs w:val="21"/>
                <w:highlight w:val="none"/>
              </w:rPr>
              <w:t>称；</w:t>
            </w:r>
          </w:p>
          <w:p w14:paraId="22F9987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Cs/>
                <w:sz w:val="21"/>
                <w:szCs w:val="21"/>
                <w:highlight w:val="none"/>
                <w:lang w:val="en-US" w:eastAsia="zh-CN"/>
              </w:rPr>
            </w:pPr>
            <w:r>
              <w:rPr>
                <w:rFonts w:hint="eastAsia" w:ascii="宋体" w:hAnsi="宋体" w:eastAsia="宋体" w:cs="宋体"/>
                <w:sz w:val="21"/>
                <w:szCs w:val="21"/>
                <w:highlight w:val="none"/>
              </w:rPr>
              <w:t>（3）</w:t>
            </w:r>
            <w:r>
              <w:rPr>
                <w:rFonts w:hint="eastAsia" w:ascii="宋体" w:hAnsi="宋体" w:eastAsia="宋体" w:cs="宋体"/>
                <w:sz w:val="21"/>
                <w:szCs w:val="21"/>
                <w:highlight w:val="none"/>
              </w:rPr>
              <w:t>具备公路工程试验检测师资格</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且已经录入“公路水运工程质量检测管理信息系统”投标人检测机构的“录入人员”中。</w:t>
            </w:r>
          </w:p>
          <w:p w14:paraId="1571FE12">
            <w:pPr>
              <w:keepNext w:val="0"/>
              <w:keepLines w:val="0"/>
              <w:pageBreakBefore w:val="0"/>
              <w:widowControl/>
              <w:tabs>
                <w:tab w:val="left" w:pos="624"/>
                <w:tab w:val="left" w:pos="909"/>
              </w:tabs>
              <w:kinsoku/>
              <w:wordWrap/>
              <w:overflowPunct/>
              <w:topLinePunct w:val="0"/>
              <w:autoSpaceDE/>
              <w:autoSpaceDN/>
              <w:bidi w:val="0"/>
              <w:adjustRightInd/>
              <w:snapToGrid/>
              <w:spacing w:line="360" w:lineRule="exact"/>
              <w:ind w:left="79"/>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注：</w:t>
            </w:r>
            <w:r>
              <w:rPr>
                <w:rFonts w:hint="eastAsia" w:ascii="宋体" w:hAnsi="宋体" w:eastAsia="宋体" w:cs="宋体"/>
                <w:color w:val="333333"/>
                <w:sz w:val="21"/>
                <w:szCs w:val="21"/>
                <w:highlight w:val="none"/>
              </w:rPr>
              <w:t>依据</w:t>
            </w:r>
            <w:r>
              <w:rPr>
                <w:rFonts w:hint="eastAsia" w:ascii="宋体" w:hAnsi="宋体" w:eastAsia="宋体" w:cs="宋体"/>
                <w:color w:val="333333"/>
                <w:sz w:val="21"/>
                <w:szCs w:val="21"/>
                <w:highlight w:val="none"/>
                <w:lang w:val="en-US" w:eastAsia="zh-CN"/>
              </w:rPr>
              <w:t>原</w:t>
            </w:r>
            <w:r>
              <w:rPr>
                <w:rFonts w:hint="eastAsia" w:ascii="宋体" w:hAnsi="宋体" w:eastAsia="宋体" w:cs="宋体"/>
                <w:color w:val="333333"/>
                <w:sz w:val="21"/>
                <w:szCs w:val="21"/>
                <w:highlight w:val="none"/>
              </w:rPr>
              <w:t>《公路水运工程试验检测管理办法》（交通部令2005年第12号）及相应试验检测人员考试办法要求，取得的试验检测工程师证书效用不变。</w:t>
            </w:r>
          </w:p>
        </w:tc>
        <w:tc>
          <w:tcPr>
            <w:tcW w:w="1301" w:type="dxa"/>
            <w:vMerge w:val="continue"/>
            <w:tcBorders>
              <w:left w:val="single" w:color="auto" w:sz="4" w:space="0"/>
              <w:bottom w:val="single" w:color="auto" w:sz="12" w:space="0"/>
              <w:right w:val="single" w:color="auto" w:sz="12" w:space="0"/>
            </w:tcBorders>
            <w:vAlign w:val="center"/>
          </w:tcPr>
          <w:p w14:paraId="2EE89CD3">
            <w:pPr>
              <w:keepLines w:val="0"/>
              <w:widowControl/>
              <w:kinsoku/>
              <w:wordWrap/>
              <w:overflowPunct/>
              <w:topLinePunct w:val="0"/>
              <w:bidi w:val="0"/>
              <w:spacing w:line="360" w:lineRule="exact"/>
              <w:jc w:val="left"/>
              <w:textAlignment w:val="auto"/>
              <w:rPr>
                <w:rFonts w:hint="eastAsia" w:ascii="宋体" w:hAnsi="宋体" w:eastAsia="宋体" w:cs="宋体"/>
                <w:bCs/>
                <w:sz w:val="21"/>
                <w:szCs w:val="21"/>
                <w:highlight w:val="none"/>
              </w:rPr>
            </w:pPr>
          </w:p>
        </w:tc>
      </w:tr>
      <w:bookmarkEnd w:id="6"/>
    </w:tbl>
    <w:p w14:paraId="0FDCC598">
      <w:pPr>
        <w:keepNext w:val="0"/>
        <w:keepLines w:val="0"/>
        <w:pageBreakBefore/>
        <w:widowControl w:val="0"/>
        <w:kinsoku/>
        <w:wordWrap/>
        <w:overflowPunct/>
        <w:topLinePunct w:val="0"/>
        <w:autoSpaceDE/>
        <w:autoSpaceDN/>
        <w:bidi w:val="0"/>
        <w:adjustRightInd w:val="0"/>
        <w:snapToGrid w:val="0"/>
        <w:spacing w:beforeLines="100" w:after="273" w:afterLines="100" w:line="360" w:lineRule="exact"/>
        <w:jc w:val="center"/>
        <w:textAlignment w:val="auto"/>
        <w:outlineLvl w:val="0"/>
        <w:rPr>
          <w:rFonts w:hint="eastAsia" w:ascii="宋体" w:hAnsi="宋体" w:eastAsia="宋体" w:cs="宋体"/>
          <w:b/>
          <w:sz w:val="21"/>
          <w:szCs w:val="21"/>
          <w:highlight w:val="none"/>
        </w:rPr>
      </w:pPr>
      <w:bookmarkStart w:id="8" w:name="_GoBack"/>
      <w:bookmarkEnd w:id="8"/>
      <w:r>
        <w:rPr>
          <w:rFonts w:hint="eastAsia" w:ascii="宋体" w:hAnsi="宋体" w:eastAsia="宋体" w:cs="宋体"/>
          <w:b/>
          <w:sz w:val="21"/>
          <w:szCs w:val="21"/>
          <w:highlight w:val="none"/>
        </w:rPr>
        <w:t>评标办法（综合评估法）</w:t>
      </w:r>
    </w:p>
    <w:p w14:paraId="14092416">
      <w:pPr>
        <w:keepLines w:val="0"/>
        <w:kinsoku/>
        <w:wordWrap/>
        <w:overflowPunct/>
        <w:topLinePunct w:val="0"/>
        <w:bidi w:val="0"/>
        <w:spacing w:line="360" w:lineRule="exact"/>
        <w:textAlignment w:val="auto"/>
        <w:outlineLvl w:val="1"/>
        <w:rPr>
          <w:rFonts w:hint="eastAsia" w:ascii="宋体" w:hAnsi="宋体" w:eastAsia="宋体" w:cs="宋体"/>
          <w:b/>
          <w:sz w:val="21"/>
          <w:szCs w:val="21"/>
          <w:highlight w:val="none"/>
        </w:rPr>
      </w:pPr>
      <w:bookmarkStart w:id="7" w:name="_Toc30997"/>
      <w:r>
        <w:rPr>
          <w:rFonts w:hint="eastAsia" w:ascii="宋体" w:hAnsi="宋体" w:eastAsia="宋体" w:cs="宋体"/>
          <w:b/>
          <w:sz w:val="21"/>
          <w:szCs w:val="21"/>
          <w:highlight w:val="none"/>
        </w:rPr>
        <w:t>评标办法前附表</w:t>
      </w:r>
      <w:bookmarkEnd w:id="7"/>
    </w:p>
    <w:tbl>
      <w:tblPr>
        <w:tblStyle w:val="11"/>
        <w:tblW w:w="9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604"/>
        <w:gridCol w:w="7076"/>
      </w:tblGrid>
      <w:tr w14:paraId="70C3D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2486" w:type="dxa"/>
            <w:gridSpan w:val="2"/>
            <w:shd w:val="clear" w:color="auto" w:fill="auto"/>
            <w:vAlign w:val="center"/>
          </w:tcPr>
          <w:p w14:paraId="375B771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sz w:val="21"/>
                <w:szCs w:val="21"/>
                <w:highlight w:val="none"/>
              </w:rPr>
            </w:pPr>
            <w:r>
              <w:rPr>
                <w:rStyle w:val="34"/>
                <w:rFonts w:hint="eastAsia" w:ascii="宋体" w:hAnsi="宋体" w:eastAsia="宋体" w:cs="宋体"/>
                <w:b/>
                <w:sz w:val="21"/>
                <w:szCs w:val="21"/>
                <w:highlight w:val="none"/>
              </w:rPr>
              <w:t>条款号</w:t>
            </w:r>
          </w:p>
        </w:tc>
        <w:tc>
          <w:tcPr>
            <w:tcW w:w="7076" w:type="dxa"/>
            <w:shd w:val="clear" w:color="auto" w:fill="auto"/>
            <w:vAlign w:val="center"/>
          </w:tcPr>
          <w:p w14:paraId="7F5471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sz w:val="21"/>
                <w:szCs w:val="21"/>
                <w:highlight w:val="none"/>
              </w:rPr>
            </w:pPr>
            <w:r>
              <w:rPr>
                <w:rStyle w:val="34"/>
                <w:rFonts w:hint="eastAsia" w:ascii="宋体" w:hAnsi="宋体" w:eastAsia="宋体" w:cs="宋体"/>
                <w:b/>
                <w:sz w:val="21"/>
                <w:szCs w:val="21"/>
                <w:highlight w:val="none"/>
              </w:rPr>
              <w:t>评审因素与评审标准</w:t>
            </w:r>
          </w:p>
        </w:tc>
      </w:tr>
      <w:tr w14:paraId="6E483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 w:type="dxa"/>
            <w:shd w:val="clear" w:color="auto" w:fill="auto"/>
            <w:vAlign w:val="center"/>
          </w:tcPr>
          <w:p w14:paraId="2C73E2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604" w:type="dxa"/>
            <w:shd w:val="clear" w:color="auto" w:fill="auto"/>
            <w:vAlign w:val="center"/>
          </w:tcPr>
          <w:p w14:paraId="13D68A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zh-TW"/>
              </w:rPr>
              <w:t>评标方法</w:t>
            </w:r>
          </w:p>
        </w:tc>
        <w:tc>
          <w:tcPr>
            <w:tcW w:w="7076" w:type="dxa"/>
            <w:shd w:val="clear" w:color="auto" w:fill="auto"/>
          </w:tcPr>
          <w:p w14:paraId="0300EBF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rPr>
            </w:pPr>
            <w:r>
              <w:rPr>
                <w:rStyle w:val="34"/>
                <w:rFonts w:hint="eastAsia" w:ascii="宋体" w:hAnsi="宋体" w:eastAsia="宋体" w:cs="宋体"/>
                <w:sz w:val="21"/>
                <w:szCs w:val="21"/>
                <w:highlight w:val="none"/>
                <w:lang w:eastAsia="zh-CN"/>
              </w:rPr>
              <w:t>综合评分相等时，评标委员会依次按照以下优先顺序推荐中标候选人：</w:t>
            </w:r>
          </w:p>
          <w:p w14:paraId="4C0D73F9">
            <w:pPr>
              <w:keepNext w:val="0"/>
              <w:keepLines w:val="0"/>
              <w:pageBreakBefore w:val="0"/>
              <w:widowControl w:val="0"/>
              <w:tabs>
                <w:tab w:val="left" w:pos="107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Style w:val="34"/>
                <w:rFonts w:hint="eastAsia" w:ascii="宋体" w:hAnsi="宋体" w:eastAsia="宋体" w:cs="宋体"/>
                <w:sz w:val="21"/>
                <w:szCs w:val="21"/>
                <w:highlight w:val="none"/>
                <w:lang w:eastAsia="zh-CN"/>
              </w:rPr>
              <w:t>评标价低的投标人优先；</w:t>
            </w:r>
          </w:p>
          <w:p w14:paraId="619BCAD5">
            <w:pPr>
              <w:keepNext w:val="0"/>
              <w:keepLines w:val="0"/>
              <w:pageBreakBefore w:val="0"/>
              <w:widowControl w:val="0"/>
              <w:tabs>
                <w:tab w:val="left" w:pos="1078"/>
              </w:tabs>
              <w:kinsoku/>
              <w:wordWrap/>
              <w:overflowPunct/>
              <w:topLinePunct w:val="0"/>
              <w:autoSpaceDE/>
              <w:autoSpaceDN/>
              <w:bidi w:val="0"/>
              <w:adjustRightInd/>
              <w:snapToGrid/>
              <w:spacing w:line="360" w:lineRule="exact"/>
              <w:ind w:firstLine="420" w:firstLineChars="200"/>
              <w:textAlignment w:val="auto"/>
              <w:rPr>
                <w:rStyle w:val="34"/>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w:t>
            </w:r>
            <w:r>
              <w:rPr>
                <w:rFonts w:hint="eastAsia" w:ascii="宋体" w:hAnsi="宋体" w:eastAsia="宋体" w:cs="宋体"/>
                <w:sz w:val="21"/>
                <w:szCs w:val="21"/>
                <w:highlight w:val="none"/>
                <w:shd w:val="clear" w:color="auto" w:fill="FFFFFF"/>
                <w:lang w:val="en-US" w:eastAsia="zh-CN" w:bidi="en-US"/>
              </w:rPr>
              <w:t>信用评价得分</w:t>
            </w:r>
            <w:r>
              <w:rPr>
                <w:rFonts w:hint="eastAsia" w:ascii="宋体" w:hAnsi="宋体" w:eastAsia="宋体" w:cs="宋体"/>
                <w:sz w:val="21"/>
                <w:szCs w:val="21"/>
                <w:highlight w:val="none"/>
                <w:shd w:val="clear" w:color="auto" w:fill="FFFFFF"/>
                <w:lang w:bidi="en-US"/>
              </w:rPr>
              <w:t>较高的投标人优先</w:t>
            </w:r>
            <w:r>
              <w:rPr>
                <w:rFonts w:hint="eastAsia" w:ascii="宋体" w:hAnsi="宋体" w:eastAsia="宋体" w:cs="宋体"/>
                <w:sz w:val="21"/>
                <w:szCs w:val="21"/>
                <w:highlight w:val="none"/>
              </w:rPr>
              <w:t>；</w:t>
            </w:r>
          </w:p>
          <w:p w14:paraId="5EBFF3CF">
            <w:pPr>
              <w:keepNext w:val="0"/>
              <w:keepLines w:val="0"/>
              <w:pageBreakBefore w:val="0"/>
              <w:widowControl w:val="0"/>
              <w:tabs>
                <w:tab w:val="left" w:pos="1078"/>
              </w:tabs>
              <w:kinsoku/>
              <w:wordWrap/>
              <w:overflowPunct/>
              <w:topLinePunct w:val="0"/>
              <w:autoSpaceDE/>
              <w:autoSpaceDN/>
              <w:bidi w:val="0"/>
              <w:adjustRightInd/>
              <w:snapToGrid/>
              <w:spacing w:line="360" w:lineRule="exact"/>
              <w:ind w:firstLine="420" w:firstLineChars="200"/>
              <w:textAlignment w:val="auto"/>
              <w:rPr>
                <w:rStyle w:val="34"/>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（3）</w:t>
            </w:r>
            <w:r>
              <w:rPr>
                <w:rStyle w:val="34"/>
                <w:rFonts w:hint="eastAsia" w:ascii="宋体" w:hAnsi="宋体" w:eastAsia="宋体" w:cs="宋体"/>
                <w:sz w:val="21"/>
                <w:szCs w:val="21"/>
                <w:highlight w:val="none"/>
                <w:lang w:val="en-US" w:eastAsia="zh-CN"/>
              </w:rPr>
              <w:t>技术建议书</w:t>
            </w:r>
            <w:r>
              <w:rPr>
                <w:rStyle w:val="34"/>
                <w:rFonts w:hint="eastAsia" w:ascii="宋体" w:hAnsi="宋体" w:eastAsia="宋体" w:cs="宋体"/>
                <w:sz w:val="21"/>
                <w:szCs w:val="21"/>
                <w:highlight w:val="none"/>
                <w:lang w:eastAsia="zh-CN"/>
              </w:rPr>
              <w:t>得分较高的投标人优先；</w:t>
            </w:r>
          </w:p>
          <w:p w14:paraId="5108F24A">
            <w:pPr>
              <w:keepNext w:val="0"/>
              <w:keepLines w:val="0"/>
              <w:pageBreakBefore w:val="0"/>
              <w:widowControl w:val="0"/>
              <w:tabs>
                <w:tab w:val="left" w:pos="1078"/>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eastAsia="宋体" w:cs="宋体"/>
                <w:sz w:val="21"/>
                <w:szCs w:val="21"/>
                <w:highlight w:val="none"/>
              </w:rPr>
              <w:t>评标委员会</w:t>
            </w:r>
            <w:r>
              <w:rPr>
                <w:rFonts w:hint="eastAsia" w:ascii="宋体" w:hAnsi="宋体" w:eastAsia="宋体" w:cs="宋体"/>
                <w:sz w:val="21"/>
                <w:szCs w:val="21"/>
                <w:highlight w:val="none"/>
              </w:rPr>
              <w:t>投票表决。</w:t>
            </w:r>
          </w:p>
        </w:tc>
      </w:tr>
      <w:tr w14:paraId="28502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 w:type="dxa"/>
            <w:vMerge w:val="restart"/>
            <w:shd w:val="clear" w:color="auto" w:fill="auto"/>
            <w:vAlign w:val="center"/>
          </w:tcPr>
          <w:p w14:paraId="654BA5F2">
            <w:pPr>
              <w:pStyle w:val="18"/>
              <w:keepNext w:val="0"/>
              <w:keepLines w:val="0"/>
              <w:pageBreakBefore w:val="0"/>
              <w:widowControl w:val="0"/>
              <w:shd w:val="clear" w:color="auto" w:fill="auto"/>
              <w:kinsoku/>
              <w:wordWrap/>
              <w:overflowPunct/>
              <w:topLinePunct w:val="0"/>
              <w:autoSpaceDE/>
              <w:autoSpaceDN/>
              <w:bidi w:val="0"/>
              <w:adjustRightInd/>
              <w:snapToGrid/>
              <w:spacing w:before="0" w:line="360" w:lineRule="exact"/>
              <w:jc w:val="left"/>
              <w:textAlignment w:val="auto"/>
              <w:rPr>
                <w:rStyle w:val="34"/>
                <w:rFonts w:hint="eastAsia" w:ascii="宋体" w:hAnsi="宋体" w:eastAsia="宋体" w:cs="宋体"/>
                <w:sz w:val="21"/>
                <w:szCs w:val="21"/>
                <w:highlight w:val="none"/>
                <w:lang w:eastAsia="zh-CN"/>
              </w:rPr>
            </w:pPr>
            <w:r>
              <w:rPr>
                <w:rStyle w:val="34"/>
                <w:rFonts w:hint="eastAsia" w:ascii="宋体" w:hAnsi="宋体" w:eastAsia="宋体" w:cs="宋体"/>
                <w:sz w:val="21"/>
                <w:szCs w:val="21"/>
                <w:highlight w:val="none"/>
              </w:rPr>
              <w:t>2.1.2</w:t>
            </w:r>
          </w:p>
          <w:p w14:paraId="277D61D7">
            <w:pPr>
              <w:pStyle w:val="18"/>
              <w:keepNext w:val="0"/>
              <w:keepLines w:val="0"/>
              <w:pageBreakBefore w:val="0"/>
              <w:widowControl w:val="0"/>
              <w:shd w:val="clear" w:color="auto" w:fill="auto"/>
              <w:kinsoku/>
              <w:wordWrap/>
              <w:overflowPunct/>
              <w:topLinePunct w:val="0"/>
              <w:autoSpaceDE/>
              <w:autoSpaceDN/>
              <w:bidi w:val="0"/>
              <w:adjustRightInd/>
              <w:snapToGrid/>
              <w:spacing w:before="0" w:line="360" w:lineRule="exact"/>
              <w:jc w:val="left"/>
              <w:textAlignment w:val="auto"/>
              <w:rPr>
                <w:rFonts w:hint="eastAsia" w:ascii="宋体" w:hAnsi="宋体" w:eastAsia="宋体" w:cs="宋体"/>
                <w:color w:val="000000"/>
                <w:sz w:val="21"/>
                <w:szCs w:val="21"/>
                <w:highlight w:val="none"/>
                <w:shd w:val="clear" w:color="auto" w:fill="FFFFFF"/>
                <w:lang w:val="en-US" w:eastAsia="zh-CN" w:bidi="en-US"/>
              </w:rPr>
            </w:pPr>
            <w:r>
              <w:rPr>
                <w:rStyle w:val="34"/>
                <w:rFonts w:hint="eastAsia" w:ascii="宋体" w:hAnsi="宋体" w:eastAsia="宋体" w:cs="宋体"/>
                <w:sz w:val="21"/>
                <w:szCs w:val="21"/>
                <w:highlight w:val="none"/>
              </w:rPr>
              <w:t>2.1.</w:t>
            </w:r>
            <w:r>
              <w:rPr>
                <w:rStyle w:val="34"/>
                <w:rFonts w:hint="eastAsia" w:ascii="宋体" w:hAnsi="宋体" w:eastAsia="宋体" w:cs="宋体"/>
                <w:sz w:val="21"/>
                <w:szCs w:val="21"/>
                <w:highlight w:val="none"/>
                <w:lang w:eastAsia="zh-CN"/>
              </w:rPr>
              <w:t>3</w:t>
            </w:r>
          </w:p>
        </w:tc>
        <w:tc>
          <w:tcPr>
            <w:tcW w:w="1604" w:type="dxa"/>
            <w:shd w:val="clear" w:color="auto" w:fill="auto"/>
            <w:vAlign w:val="center"/>
          </w:tcPr>
          <w:p w14:paraId="1C5DD28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zh-TW"/>
              </w:rPr>
            </w:pPr>
            <w:r>
              <w:rPr>
                <w:rFonts w:hint="eastAsia" w:ascii="宋体" w:hAnsi="宋体" w:eastAsia="宋体" w:cs="宋体"/>
                <w:sz w:val="21"/>
                <w:szCs w:val="21"/>
                <w:highlight w:val="none"/>
                <w:lang w:bidi="zh-TW"/>
              </w:rPr>
              <w:t>第一信封</w:t>
            </w:r>
          </w:p>
          <w:p w14:paraId="0533D62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zh-TW"/>
              </w:rPr>
              <w:t>形式评审与响应性评审标准</w:t>
            </w:r>
          </w:p>
        </w:tc>
        <w:tc>
          <w:tcPr>
            <w:tcW w:w="7076" w:type="dxa"/>
            <w:shd w:val="clear" w:color="auto" w:fill="auto"/>
          </w:tcPr>
          <w:p w14:paraId="6EBD51D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highlight w:val="none"/>
                <w:lang w:bidi="zh-TW"/>
              </w:rPr>
            </w:pPr>
            <w:r>
              <w:rPr>
                <w:rFonts w:hint="eastAsia" w:ascii="宋体" w:hAnsi="宋体" w:eastAsia="宋体" w:cs="宋体"/>
                <w:b/>
                <w:bCs/>
                <w:sz w:val="21"/>
                <w:szCs w:val="21"/>
                <w:highlight w:val="none"/>
                <w:lang w:bidi="zh-TW"/>
              </w:rPr>
              <w:t>第一个信封（商务及技术文件）评审标准：</w:t>
            </w:r>
          </w:p>
          <w:p w14:paraId="1F4747C3">
            <w:pPr>
              <w:keepNext w:val="0"/>
              <w:keepLines w:val="0"/>
              <w:pageBreakBefore w:val="0"/>
              <w:widowControl w:val="0"/>
              <w:tabs>
                <w:tab w:val="left" w:pos="1029"/>
                <w:tab w:val="left" w:pos="1194"/>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bidi="zh-TW"/>
              </w:rPr>
            </w:pPr>
            <w:r>
              <w:rPr>
                <w:rFonts w:hint="eastAsia" w:ascii="宋体" w:hAnsi="宋体" w:eastAsia="宋体" w:cs="宋体"/>
                <w:sz w:val="21"/>
                <w:szCs w:val="21"/>
                <w:highlight w:val="none"/>
                <w:lang w:bidi="zh-TW"/>
              </w:rPr>
              <w:t>（1）</w:t>
            </w:r>
            <w:r>
              <w:rPr>
                <w:rFonts w:hint="eastAsia" w:ascii="宋体" w:hAnsi="宋体" w:eastAsia="宋体" w:cs="宋体"/>
                <w:sz w:val="21"/>
                <w:szCs w:val="21"/>
                <w:highlight w:val="none"/>
                <w:lang w:bidi="zh-TW"/>
              </w:rPr>
              <w:t>投标文件按照招标文件规定的格式、内容填写，字迹清晰可辨：</w:t>
            </w:r>
          </w:p>
          <w:p w14:paraId="1FFF8B5B">
            <w:pPr>
              <w:keepNext w:val="0"/>
              <w:keepLines w:val="0"/>
              <w:pageBreakBefore w:val="0"/>
              <w:widowControl w:val="0"/>
              <w:tabs>
                <w:tab w:val="left" w:pos="1029"/>
                <w:tab w:val="left" w:pos="1194"/>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bidi="zh-TW"/>
              </w:rPr>
            </w:pPr>
            <w:r>
              <w:rPr>
                <w:rFonts w:hint="eastAsia" w:ascii="宋体" w:hAnsi="宋体" w:eastAsia="宋体" w:cs="宋体"/>
                <w:sz w:val="21"/>
                <w:szCs w:val="21"/>
                <w:highlight w:val="none"/>
                <w:lang w:bidi="zh-TW"/>
              </w:rPr>
              <w:t>a.</w:t>
            </w:r>
            <w:r>
              <w:rPr>
                <w:rFonts w:hint="eastAsia" w:ascii="宋体" w:hAnsi="宋体" w:eastAsia="宋体" w:cs="宋体"/>
                <w:sz w:val="21"/>
                <w:szCs w:val="21"/>
                <w:highlight w:val="none"/>
                <w:lang w:bidi="zh-TW"/>
              </w:rPr>
              <w:t>投标函按招标文件规定填报了项目名称、标段号、补遗书编号（如有)、服务期限、工程质量要求及安全目标；</w:t>
            </w:r>
          </w:p>
          <w:p w14:paraId="6EF265F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bidi="zh-TW"/>
              </w:rPr>
            </w:pPr>
            <w:r>
              <w:rPr>
                <w:rFonts w:hint="eastAsia" w:ascii="宋体" w:hAnsi="宋体" w:eastAsia="宋体" w:cs="宋体"/>
                <w:sz w:val="21"/>
                <w:szCs w:val="21"/>
                <w:highlight w:val="none"/>
                <w:lang w:bidi="zh-TW"/>
              </w:rPr>
              <w:t>b.</w:t>
            </w:r>
            <w:r>
              <w:rPr>
                <w:rFonts w:hint="eastAsia" w:ascii="宋体" w:hAnsi="宋体" w:eastAsia="宋体" w:cs="宋体"/>
                <w:sz w:val="21"/>
                <w:szCs w:val="21"/>
                <w:highlight w:val="none"/>
                <w:lang w:bidi="zh-TW"/>
              </w:rPr>
              <w:t>投标文件组成齐全完整，内容均按规定填写。</w:t>
            </w:r>
          </w:p>
          <w:p w14:paraId="0B10BAF4">
            <w:pPr>
              <w:keepNext w:val="0"/>
              <w:keepLines w:val="0"/>
              <w:pageBreakBefore w:val="0"/>
              <w:widowControl w:val="0"/>
              <w:tabs>
                <w:tab w:val="left" w:pos="1168"/>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bidi="zh-TW"/>
              </w:rPr>
            </w:pPr>
            <w:r>
              <w:rPr>
                <w:rFonts w:hint="eastAsia" w:ascii="宋体" w:hAnsi="宋体" w:eastAsia="宋体" w:cs="宋体"/>
                <w:sz w:val="21"/>
                <w:szCs w:val="21"/>
                <w:highlight w:val="none"/>
                <w:lang w:bidi="zh-TW"/>
              </w:rPr>
              <w:t>（2）</w:t>
            </w:r>
            <w:r>
              <w:rPr>
                <w:rFonts w:hint="eastAsia" w:ascii="宋体" w:hAnsi="宋体" w:eastAsia="宋体" w:cs="宋体"/>
                <w:sz w:val="21"/>
                <w:szCs w:val="21"/>
                <w:highlight w:val="none"/>
                <w:lang w:bidi="zh-TW"/>
              </w:rPr>
              <w:t>投标文件上法定代表人或其委托代理人的签字、投标人的单位章盖章齐全，符合招标文件规定。</w:t>
            </w:r>
          </w:p>
          <w:p w14:paraId="26A55D1D">
            <w:pPr>
              <w:keepNext w:val="0"/>
              <w:keepLines w:val="0"/>
              <w:pageBreakBefore w:val="0"/>
              <w:widowControl w:val="0"/>
              <w:tabs>
                <w:tab w:val="left" w:pos="1168"/>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bidi="zh-TW"/>
              </w:rPr>
            </w:pPr>
            <w:r>
              <w:rPr>
                <w:rFonts w:hint="eastAsia" w:ascii="宋体" w:hAnsi="宋体" w:eastAsia="宋体" w:cs="宋体"/>
                <w:sz w:val="21"/>
                <w:szCs w:val="21"/>
                <w:highlight w:val="none"/>
                <w:lang w:bidi="zh-TW"/>
              </w:rPr>
              <w:t>（3）</w:t>
            </w:r>
            <w:r>
              <w:rPr>
                <w:rFonts w:hint="eastAsia" w:ascii="宋体" w:hAnsi="宋体" w:eastAsia="宋体" w:cs="宋体"/>
                <w:sz w:val="21"/>
                <w:szCs w:val="21"/>
                <w:highlight w:val="none"/>
                <w:lang w:bidi="zh-TW"/>
              </w:rPr>
              <w:t>投标人按照招标文件的规定提供了投标保证金：</w:t>
            </w:r>
          </w:p>
          <w:p w14:paraId="68320A3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bidi="zh-TW"/>
              </w:rPr>
            </w:pPr>
            <w:r>
              <w:rPr>
                <w:rFonts w:hint="eastAsia" w:ascii="宋体" w:hAnsi="宋体" w:eastAsia="宋体" w:cs="宋体"/>
                <w:sz w:val="21"/>
                <w:szCs w:val="21"/>
                <w:highlight w:val="none"/>
                <w:lang w:bidi="en-US"/>
              </w:rPr>
              <w:t>a</w:t>
            </w:r>
            <w:r>
              <w:rPr>
                <w:rFonts w:hint="eastAsia" w:ascii="宋体" w:hAnsi="宋体" w:eastAsia="宋体" w:cs="宋体"/>
                <w:b/>
                <w:bCs/>
                <w:sz w:val="21"/>
                <w:szCs w:val="21"/>
                <w:highlight w:val="none"/>
                <w:lang w:bidi="en-US"/>
              </w:rPr>
              <w:t>.</w:t>
            </w:r>
            <w:r>
              <w:rPr>
                <w:rFonts w:hint="eastAsia" w:ascii="宋体" w:hAnsi="宋体" w:eastAsia="宋体" w:cs="宋体"/>
                <w:sz w:val="21"/>
                <w:szCs w:val="21"/>
                <w:highlight w:val="none"/>
                <w:lang w:bidi="zh-TW"/>
              </w:rPr>
              <w:t>投标保证金金额符合招标文件规定的金额，且投标保证金有效期不少于投标有效期；</w:t>
            </w:r>
          </w:p>
          <w:p w14:paraId="55DFD51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bidi="zh-TW"/>
              </w:rPr>
            </w:pPr>
            <w:r>
              <w:rPr>
                <w:rFonts w:hint="eastAsia" w:ascii="宋体" w:hAnsi="宋体" w:eastAsia="宋体" w:cs="宋体"/>
                <w:sz w:val="21"/>
                <w:szCs w:val="21"/>
                <w:highlight w:val="none"/>
                <w:lang w:bidi="en-US"/>
              </w:rPr>
              <w:t>b</w:t>
            </w:r>
            <w:r>
              <w:rPr>
                <w:rFonts w:hint="eastAsia" w:ascii="宋体" w:hAnsi="宋体" w:eastAsia="宋体" w:cs="宋体"/>
                <w:b/>
                <w:bCs/>
                <w:sz w:val="21"/>
                <w:szCs w:val="21"/>
                <w:highlight w:val="none"/>
                <w:lang w:bidi="en-US"/>
              </w:rPr>
              <w:t>.</w:t>
            </w:r>
            <w:r>
              <w:rPr>
                <w:rFonts w:hint="eastAsia" w:ascii="宋体" w:hAnsi="宋体" w:eastAsia="宋体" w:cs="宋体"/>
                <w:sz w:val="21"/>
                <w:szCs w:val="21"/>
                <w:highlight w:val="none"/>
                <w:lang w:bidi="zh-TW"/>
              </w:rPr>
              <w:t>若投标保证金采用现金或支票形式提交，投标人应在递交投标文件截止时间之前，将投标保证金由投标人的基本账户转入招标人指定账户；</w:t>
            </w:r>
          </w:p>
          <w:p w14:paraId="0A9F7AC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bidi="zh-TW"/>
              </w:rPr>
            </w:pPr>
            <w:r>
              <w:rPr>
                <w:rFonts w:hint="eastAsia" w:ascii="宋体" w:hAnsi="宋体" w:eastAsia="宋体" w:cs="宋体"/>
                <w:sz w:val="21"/>
                <w:szCs w:val="21"/>
                <w:highlight w:val="none"/>
                <w:lang w:bidi="en-US"/>
              </w:rPr>
              <w:t>c</w:t>
            </w:r>
            <w:r>
              <w:rPr>
                <w:rFonts w:hint="eastAsia" w:ascii="宋体" w:hAnsi="宋体" w:eastAsia="宋体" w:cs="宋体"/>
                <w:b/>
                <w:bCs/>
                <w:sz w:val="21"/>
                <w:szCs w:val="21"/>
                <w:highlight w:val="none"/>
                <w:lang w:bidi="en-US"/>
              </w:rPr>
              <w:t>.</w:t>
            </w:r>
            <w:r>
              <w:rPr>
                <w:rFonts w:hint="eastAsia" w:ascii="宋体" w:hAnsi="宋体" w:eastAsia="宋体" w:cs="宋体"/>
                <w:sz w:val="21"/>
                <w:szCs w:val="21"/>
                <w:highlight w:val="none"/>
                <w:lang w:bidi="zh-TW"/>
              </w:rPr>
              <w:t>若投标保证金采用保函</w:t>
            </w:r>
            <w:r>
              <w:rPr>
                <w:rFonts w:hint="eastAsia" w:ascii="宋体" w:hAnsi="宋体" w:eastAsia="宋体" w:cs="宋体"/>
                <w:sz w:val="21"/>
                <w:szCs w:val="21"/>
                <w:highlight w:val="none"/>
                <w:lang w:eastAsia="zh-CN" w:bidi="zh-TW"/>
              </w:rPr>
              <w:t>（</w:t>
            </w:r>
            <w:r>
              <w:rPr>
                <w:rFonts w:hint="eastAsia" w:ascii="宋体" w:hAnsi="宋体" w:eastAsia="宋体" w:cs="宋体"/>
                <w:sz w:val="21"/>
                <w:szCs w:val="21"/>
                <w:highlight w:val="none"/>
                <w:lang w:val="en-US" w:eastAsia="zh-CN" w:bidi="zh-TW"/>
              </w:rPr>
              <w:t>保单</w:t>
            </w:r>
            <w:r>
              <w:rPr>
                <w:rFonts w:hint="eastAsia" w:ascii="宋体" w:hAnsi="宋体" w:eastAsia="宋体" w:cs="宋体"/>
                <w:sz w:val="21"/>
                <w:szCs w:val="21"/>
                <w:highlight w:val="none"/>
                <w:lang w:eastAsia="zh-CN" w:bidi="zh-TW"/>
              </w:rPr>
              <w:t>）</w:t>
            </w:r>
            <w:r>
              <w:rPr>
                <w:rFonts w:hint="eastAsia" w:ascii="宋体" w:hAnsi="宋体" w:eastAsia="宋体" w:cs="宋体"/>
                <w:sz w:val="21"/>
                <w:szCs w:val="21"/>
                <w:highlight w:val="none"/>
                <w:lang w:bidi="zh-TW"/>
              </w:rPr>
              <w:t>形式提交，</w:t>
            </w:r>
            <w:r>
              <w:rPr>
                <w:rFonts w:hint="eastAsia" w:ascii="宋体" w:hAnsi="宋体" w:eastAsia="宋体" w:cs="宋体"/>
                <w:bCs/>
                <w:color w:val="auto"/>
                <w:sz w:val="21"/>
                <w:szCs w:val="21"/>
                <w:highlight w:val="none"/>
              </w:rPr>
              <w:t>应满足</w:t>
            </w:r>
            <w:r>
              <w:rPr>
                <w:rFonts w:hint="eastAsia" w:ascii="宋体" w:hAnsi="宋体" w:eastAsia="宋体" w:cs="宋体"/>
                <w:bCs/>
                <w:color w:val="auto"/>
                <w:sz w:val="21"/>
                <w:szCs w:val="21"/>
                <w:highlight w:val="none"/>
                <w:lang w:val="en-US" w:eastAsia="zh-CN"/>
              </w:rPr>
              <w:t>招标文件相关要求</w:t>
            </w:r>
            <w:r>
              <w:rPr>
                <w:rFonts w:hint="eastAsia" w:ascii="宋体" w:hAnsi="宋体" w:eastAsia="宋体" w:cs="宋体"/>
                <w:bCs/>
                <w:color w:val="auto"/>
                <w:sz w:val="21"/>
                <w:szCs w:val="21"/>
                <w:highlight w:val="none"/>
                <w:lang w:val="zh-CN"/>
              </w:rPr>
              <w:t>。</w:t>
            </w:r>
          </w:p>
          <w:p w14:paraId="1342C744">
            <w:pPr>
              <w:keepNext w:val="0"/>
              <w:keepLines w:val="0"/>
              <w:pageBreakBefore w:val="0"/>
              <w:widowControl w:val="0"/>
              <w:tabs>
                <w:tab w:val="left" w:pos="1168"/>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bidi="zh-TW"/>
              </w:rPr>
            </w:pPr>
            <w:r>
              <w:rPr>
                <w:rFonts w:hint="eastAsia" w:ascii="宋体" w:hAnsi="宋体" w:eastAsia="宋体" w:cs="宋体"/>
                <w:sz w:val="21"/>
                <w:szCs w:val="21"/>
                <w:highlight w:val="none"/>
                <w:lang w:bidi="zh-TW"/>
              </w:rPr>
              <w:t>（4）</w:t>
            </w:r>
            <w:r>
              <w:rPr>
                <w:rFonts w:hint="eastAsia" w:ascii="宋体" w:hAnsi="宋体" w:eastAsia="宋体" w:cs="宋体"/>
                <w:sz w:val="21"/>
                <w:szCs w:val="21"/>
                <w:highlight w:val="none"/>
                <w:lang w:bidi="zh-TW"/>
              </w:rPr>
              <w:t>投标人法定代表人授权委托代理人签署投标文件的，须提交授权委托书，且授权人和被授权人均在授权委托书上签名。</w:t>
            </w:r>
          </w:p>
          <w:p w14:paraId="6F9BBDCD">
            <w:pPr>
              <w:keepNext w:val="0"/>
              <w:keepLines w:val="0"/>
              <w:pageBreakBefore w:val="0"/>
              <w:widowControl w:val="0"/>
              <w:tabs>
                <w:tab w:val="left" w:pos="1168"/>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bidi="zh-TW"/>
              </w:rPr>
            </w:pPr>
            <w:r>
              <w:rPr>
                <w:rFonts w:hint="eastAsia" w:ascii="宋体" w:hAnsi="宋体" w:eastAsia="宋体" w:cs="宋体"/>
                <w:sz w:val="21"/>
                <w:szCs w:val="21"/>
                <w:highlight w:val="none"/>
                <w:lang w:bidi="zh-TW"/>
              </w:rPr>
              <w:t>（5）</w:t>
            </w:r>
            <w:r>
              <w:rPr>
                <w:rFonts w:hint="eastAsia" w:ascii="宋体" w:hAnsi="宋体" w:eastAsia="宋体" w:cs="宋体"/>
                <w:sz w:val="21"/>
                <w:szCs w:val="21"/>
                <w:highlight w:val="none"/>
                <w:lang w:bidi="zh-TW"/>
              </w:rPr>
              <w:t>投标人法定代表人亲自签署投标文件的，提供了法定代表人身份证明，且法定代表人在法定代表人身份证明上签名。</w:t>
            </w:r>
          </w:p>
          <w:p w14:paraId="1929A9F2">
            <w:pPr>
              <w:keepNext w:val="0"/>
              <w:keepLines w:val="0"/>
              <w:pageBreakBefore w:val="0"/>
              <w:widowControl w:val="0"/>
              <w:tabs>
                <w:tab w:val="left" w:pos="1168"/>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bidi="zh-TW"/>
              </w:rPr>
            </w:pPr>
            <w:r>
              <w:rPr>
                <w:rFonts w:hint="eastAsia" w:ascii="宋体" w:hAnsi="宋体" w:eastAsia="宋体" w:cs="宋体"/>
                <w:sz w:val="21"/>
                <w:szCs w:val="21"/>
                <w:highlight w:val="none"/>
                <w:lang w:bidi="zh-TW"/>
              </w:rPr>
              <w:t>（6）</w:t>
            </w:r>
            <w:r>
              <w:rPr>
                <w:rFonts w:hint="eastAsia" w:ascii="宋体" w:hAnsi="宋体" w:eastAsia="宋体" w:cs="宋体"/>
                <w:sz w:val="21"/>
                <w:szCs w:val="21"/>
                <w:highlight w:val="none"/>
                <w:lang w:bidi="zh-TW"/>
              </w:rPr>
              <w:t>投标人</w:t>
            </w:r>
            <w:r>
              <w:rPr>
                <w:rFonts w:hint="eastAsia" w:ascii="宋体" w:hAnsi="宋体" w:eastAsia="宋体" w:cs="宋体"/>
                <w:sz w:val="21"/>
                <w:szCs w:val="21"/>
                <w:highlight w:val="none"/>
                <w:lang w:val="en-US" w:eastAsia="zh-CN" w:bidi="zh-TW"/>
              </w:rPr>
              <w:t>未</w:t>
            </w:r>
            <w:r>
              <w:rPr>
                <w:rFonts w:hint="eastAsia" w:ascii="宋体" w:hAnsi="宋体" w:eastAsia="宋体" w:cs="宋体"/>
                <w:sz w:val="21"/>
                <w:szCs w:val="21"/>
                <w:highlight w:val="none"/>
                <w:lang w:bidi="zh-TW"/>
              </w:rPr>
              <w:t>以联合体形式投标</w:t>
            </w:r>
            <w:r>
              <w:rPr>
                <w:rFonts w:hint="eastAsia" w:ascii="宋体" w:hAnsi="宋体" w:eastAsia="宋体" w:cs="宋体"/>
                <w:sz w:val="21"/>
                <w:szCs w:val="21"/>
                <w:highlight w:val="none"/>
                <w:lang w:bidi="zh-TW"/>
              </w:rPr>
              <w:t>。</w:t>
            </w:r>
          </w:p>
          <w:p w14:paraId="76A2682E">
            <w:pPr>
              <w:keepNext w:val="0"/>
              <w:keepLines w:val="0"/>
              <w:pageBreakBefore w:val="0"/>
              <w:widowControl w:val="0"/>
              <w:tabs>
                <w:tab w:val="left" w:pos="984"/>
                <w:tab w:val="left" w:pos="1168"/>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bidi="zh-TW"/>
              </w:rPr>
            </w:pPr>
            <w:r>
              <w:rPr>
                <w:rFonts w:hint="eastAsia" w:ascii="宋体" w:hAnsi="宋体" w:eastAsia="宋体" w:cs="宋体"/>
                <w:sz w:val="21"/>
                <w:szCs w:val="21"/>
                <w:highlight w:val="none"/>
                <w:lang w:bidi="zh-TW"/>
              </w:rPr>
              <w:t>（7）</w:t>
            </w:r>
            <w:r>
              <w:rPr>
                <w:rFonts w:hint="eastAsia" w:ascii="宋体" w:hAnsi="宋体" w:eastAsia="宋体" w:cs="宋体"/>
                <w:sz w:val="21"/>
                <w:szCs w:val="21"/>
                <w:highlight w:val="none"/>
                <w:lang w:bidi="zh-TW"/>
              </w:rPr>
              <w:t>同一投标人未提交两个以上不同的投标文件，但招标文件要求提交备选投标的除外。</w:t>
            </w:r>
          </w:p>
          <w:p w14:paraId="323C1CB5">
            <w:pPr>
              <w:keepNext w:val="0"/>
              <w:keepLines w:val="0"/>
              <w:pageBreakBefore w:val="0"/>
              <w:widowControl w:val="0"/>
              <w:tabs>
                <w:tab w:val="left" w:pos="984"/>
                <w:tab w:val="left" w:pos="1168"/>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bidi="zh-TW"/>
              </w:rPr>
            </w:pPr>
            <w:r>
              <w:rPr>
                <w:rFonts w:hint="eastAsia" w:ascii="宋体" w:hAnsi="宋体" w:eastAsia="宋体" w:cs="宋体"/>
                <w:sz w:val="21"/>
                <w:szCs w:val="21"/>
                <w:highlight w:val="none"/>
                <w:lang w:bidi="zh-TW"/>
              </w:rPr>
              <w:t>（8）</w:t>
            </w:r>
            <w:r>
              <w:rPr>
                <w:rFonts w:hint="eastAsia" w:ascii="宋体" w:hAnsi="宋体" w:eastAsia="宋体" w:cs="宋体"/>
                <w:sz w:val="21"/>
                <w:szCs w:val="21"/>
                <w:highlight w:val="none"/>
                <w:lang w:bidi="zh-TW"/>
              </w:rPr>
              <w:t>投标文件中未出现有关投标报价的内容。</w:t>
            </w:r>
          </w:p>
          <w:p w14:paraId="3D60E694">
            <w:pPr>
              <w:keepNext w:val="0"/>
              <w:keepLines w:val="0"/>
              <w:pageBreakBefore w:val="0"/>
              <w:widowControl w:val="0"/>
              <w:tabs>
                <w:tab w:val="left" w:pos="984"/>
                <w:tab w:val="left" w:pos="1168"/>
              </w:tabs>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highlight w:val="none"/>
                <w:lang w:bidi="zh-TW"/>
              </w:rPr>
            </w:pPr>
            <w:r>
              <w:rPr>
                <w:rFonts w:hint="eastAsia" w:ascii="宋体" w:hAnsi="宋体" w:eastAsia="宋体" w:cs="宋体"/>
                <w:sz w:val="21"/>
                <w:szCs w:val="21"/>
                <w:highlight w:val="none"/>
                <w:lang w:bidi="zh-TW"/>
              </w:rPr>
              <w:t>（9）</w:t>
            </w:r>
            <w:r>
              <w:rPr>
                <w:rFonts w:hint="eastAsia" w:ascii="宋体" w:hAnsi="宋体" w:eastAsia="宋体" w:cs="宋体"/>
                <w:sz w:val="21"/>
                <w:szCs w:val="21"/>
                <w:highlight w:val="none"/>
                <w:lang w:bidi="zh-TW"/>
              </w:rPr>
              <w:t>投标文件载明的招标项目完成期限</w:t>
            </w:r>
            <w:r>
              <w:rPr>
                <w:rFonts w:hint="eastAsia" w:ascii="宋体" w:hAnsi="宋体" w:eastAsia="宋体" w:cs="宋体"/>
                <w:sz w:val="21"/>
                <w:szCs w:val="21"/>
                <w:highlight w:val="none"/>
                <w:lang w:val="en-US" w:eastAsia="zh-CN" w:bidi="zh-TW"/>
              </w:rPr>
              <w:t>符合</w:t>
            </w:r>
            <w:r>
              <w:rPr>
                <w:rFonts w:hint="eastAsia" w:ascii="宋体" w:hAnsi="宋体" w:eastAsia="宋体" w:cs="宋体"/>
                <w:sz w:val="21"/>
                <w:szCs w:val="21"/>
                <w:highlight w:val="none"/>
                <w:lang w:bidi="zh-TW"/>
              </w:rPr>
              <w:t>招标文件规定。</w:t>
            </w:r>
          </w:p>
          <w:p w14:paraId="7831F01A">
            <w:pPr>
              <w:keepNext w:val="0"/>
              <w:keepLines w:val="0"/>
              <w:pageBreakBefore w:val="0"/>
              <w:widowControl w:val="0"/>
              <w:tabs>
                <w:tab w:val="left" w:pos="1168"/>
                <w:tab w:val="left" w:pos="1310"/>
              </w:tabs>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highlight w:val="none"/>
                <w:lang w:bidi="zh-TW"/>
              </w:rPr>
            </w:pPr>
            <w:r>
              <w:rPr>
                <w:rFonts w:hint="eastAsia" w:ascii="宋体" w:hAnsi="宋体" w:eastAsia="宋体" w:cs="宋体"/>
                <w:sz w:val="21"/>
                <w:szCs w:val="21"/>
                <w:highlight w:val="none"/>
                <w:lang w:bidi="zh-TW"/>
              </w:rPr>
              <w:t>（10）</w:t>
            </w:r>
            <w:r>
              <w:rPr>
                <w:rFonts w:hint="eastAsia" w:ascii="宋体" w:hAnsi="宋体" w:eastAsia="宋体" w:cs="宋体"/>
                <w:sz w:val="21"/>
                <w:szCs w:val="21"/>
                <w:highlight w:val="none"/>
                <w:lang w:bidi="zh-TW"/>
              </w:rPr>
              <w:t>投标文件对招标文件的实质性要求和条件作出响应。</w:t>
            </w:r>
          </w:p>
          <w:p w14:paraId="7EF4453F">
            <w:pPr>
              <w:keepNext w:val="0"/>
              <w:keepLines w:val="0"/>
              <w:pageBreakBefore w:val="0"/>
              <w:widowControl w:val="0"/>
              <w:tabs>
                <w:tab w:val="left" w:pos="1168"/>
                <w:tab w:val="left" w:pos="1310"/>
              </w:tabs>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zh-TW"/>
              </w:rPr>
              <w:t>（11）权</w:t>
            </w:r>
            <w:r>
              <w:rPr>
                <w:rFonts w:hint="eastAsia" w:ascii="宋体" w:hAnsi="宋体" w:eastAsia="宋体" w:cs="宋体"/>
                <w:sz w:val="21"/>
                <w:szCs w:val="21"/>
                <w:highlight w:val="none"/>
              </w:rPr>
              <w:t>利义务符合招标文件规定：</w:t>
            </w:r>
          </w:p>
          <w:p w14:paraId="030FE017">
            <w:pPr>
              <w:keepNext w:val="0"/>
              <w:keepLines w:val="0"/>
              <w:pageBreakBefore w:val="0"/>
              <w:widowControl w:val="0"/>
              <w:kinsoku/>
              <w:wordWrap/>
              <w:overflowPunct/>
              <w:topLinePunct w:val="0"/>
              <w:autoSpaceDE/>
              <w:autoSpaceDN/>
              <w:bidi w:val="0"/>
              <w:adjustRightInd/>
              <w:snapToGrid/>
              <w:spacing w:line="360" w:lineRule="exact"/>
              <w:ind w:right="113"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a.投标人应接受招标文件规定的风险划分原则，未提出新的风险划分办法；</w:t>
            </w:r>
          </w:p>
          <w:p w14:paraId="1C031D97">
            <w:pPr>
              <w:keepNext w:val="0"/>
              <w:keepLines w:val="0"/>
              <w:pageBreakBefore w:val="0"/>
              <w:widowControl w:val="0"/>
              <w:kinsoku/>
              <w:wordWrap/>
              <w:overflowPunct/>
              <w:topLinePunct w:val="0"/>
              <w:autoSpaceDE/>
              <w:autoSpaceDN/>
              <w:bidi w:val="0"/>
              <w:adjustRightInd/>
              <w:snapToGrid/>
              <w:spacing w:line="360" w:lineRule="exact"/>
              <w:ind w:left="113" w:right="113"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b.投标人未增加委托人的责任范围，或减少投标人义务；</w:t>
            </w:r>
          </w:p>
          <w:p w14:paraId="4FED2C31">
            <w:pPr>
              <w:keepNext w:val="0"/>
              <w:keepLines w:val="0"/>
              <w:pageBreakBefore w:val="0"/>
              <w:widowControl w:val="0"/>
              <w:kinsoku/>
              <w:wordWrap/>
              <w:overflowPunct/>
              <w:topLinePunct w:val="0"/>
              <w:autoSpaceDE/>
              <w:autoSpaceDN/>
              <w:bidi w:val="0"/>
              <w:adjustRightInd/>
              <w:snapToGrid/>
              <w:spacing w:line="360" w:lineRule="exact"/>
              <w:ind w:left="113" w:right="113"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c.投标人未提出不同的支付办法；</w:t>
            </w:r>
          </w:p>
          <w:p w14:paraId="57672696">
            <w:pPr>
              <w:keepNext w:val="0"/>
              <w:keepLines w:val="0"/>
              <w:pageBreakBefore w:val="0"/>
              <w:widowControl w:val="0"/>
              <w:kinsoku/>
              <w:wordWrap/>
              <w:overflowPunct/>
              <w:topLinePunct w:val="0"/>
              <w:autoSpaceDE/>
              <w:autoSpaceDN/>
              <w:bidi w:val="0"/>
              <w:adjustRightInd/>
              <w:snapToGrid/>
              <w:spacing w:line="360" w:lineRule="exact"/>
              <w:ind w:left="113" w:right="113"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d.投标人对合同纠纷、事故处理办法未提出异议；</w:t>
            </w:r>
          </w:p>
          <w:p w14:paraId="26F41123">
            <w:pPr>
              <w:keepNext w:val="0"/>
              <w:keepLines w:val="0"/>
              <w:pageBreakBefore w:val="0"/>
              <w:widowControl w:val="0"/>
              <w:kinsoku/>
              <w:wordWrap/>
              <w:overflowPunct/>
              <w:topLinePunct w:val="0"/>
              <w:autoSpaceDE/>
              <w:autoSpaceDN/>
              <w:bidi w:val="0"/>
              <w:adjustRightInd/>
              <w:snapToGrid/>
              <w:spacing w:line="360" w:lineRule="exact"/>
              <w:ind w:left="113" w:right="113"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e.投标人在投标活动中无欺诈行为；</w:t>
            </w:r>
          </w:p>
          <w:p w14:paraId="6F6CCC31">
            <w:pPr>
              <w:keepNext w:val="0"/>
              <w:keepLines w:val="0"/>
              <w:pageBreakBefore w:val="0"/>
              <w:widowControl w:val="0"/>
              <w:kinsoku/>
              <w:wordWrap/>
              <w:overflowPunct/>
              <w:topLinePunct w:val="0"/>
              <w:autoSpaceDE/>
              <w:autoSpaceDN/>
              <w:bidi w:val="0"/>
              <w:adjustRightInd/>
              <w:snapToGrid/>
              <w:spacing w:line="360" w:lineRule="exact"/>
              <w:ind w:left="113" w:right="113"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f.投标人未对合同条款有重要保留。</w:t>
            </w:r>
          </w:p>
          <w:p w14:paraId="5362BE7B">
            <w:pPr>
              <w:keepNext w:val="0"/>
              <w:keepLines w:val="0"/>
              <w:pageBreakBefore w:val="0"/>
              <w:widowControl w:val="0"/>
              <w:kinsoku/>
              <w:wordWrap/>
              <w:overflowPunct/>
              <w:topLinePunct w:val="0"/>
              <w:autoSpaceDE/>
              <w:autoSpaceDN/>
              <w:bidi w:val="0"/>
              <w:adjustRightInd/>
              <w:snapToGrid/>
              <w:spacing w:line="360" w:lineRule="exact"/>
              <w:ind w:left="113" w:right="113" w:firstLine="210" w:firstLineChars="100"/>
              <w:textAlignment w:val="auto"/>
              <w:rPr>
                <w:rFonts w:hint="eastAsia" w:ascii="宋体" w:hAnsi="宋体" w:eastAsia="宋体" w:cs="宋体"/>
                <w:sz w:val="21"/>
                <w:szCs w:val="21"/>
                <w:highlight w:val="none"/>
              </w:rPr>
            </w:pPr>
          </w:p>
        </w:tc>
      </w:tr>
      <w:tr w14:paraId="308CF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 w:type="dxa"/>
            <w:vMerge w:val="continue"/>
            <w:shd w:val="clear" w:color="auto" w:fill="auto"/>
            <w:vAlign w:val="center"/>
          </w:tcPr>
          <w:p w14:paraId="6BD1E6F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p>
        </w:tc>
        <w:tc>
          <w:tcPr>
            <w:tcW w:w="1604" w:type="dxa"/>
            <w:shd w:val="clear" w:color="auto" w:fill="auto"/>
            <w:vAlign w:val="center"/>
          </w:tcPr>
          <w:p w14:paraId="17AE95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zh-TW"/>
              </w:rPr>
            </w:pPr>
            <w:r>
              <w:rPr>
                <w:rFonts w:hint="eastAsia" w:ascii="宋体" w:hAnsi="宋体" w:eastAsia="宋体" w:cs="宋体"/>
                <w:sz w:val="21"/>
                <w:szCs w:val="21"/>
                <w:highlight w:val="none"/>
                <w:lang w:bidi="zh-TW"/>
              </w:rPr>
              <w:t>第二信封</w:t>
            </w:r>
          </w:p>
          <w:p w14:paraId="73E028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zh-TW"/>
              </w:rPr>
              <w:t>形式评审与响应性评审标准</w:t>
            </w:r>
          </w:p>
        </w:tc>
        <w:tc>
          <w:tcPr>
            <w:tcW w:w="7076" w:type="dxa"/>
            <w:shd w:val="clear" w:color="auto" w:fill="auto"/>
          </w:tcPr>
          <w:p w14:paraId="2BA0D0E4">
            <w:pPr>
              <w:keepNext w:val="0"/>
              <w:keepLines w:val="0"/>
              <w:pageBreakBefore w:val="0"/>
              <w:widowControl w:val="0"/>
              <w:kinsoku/>
              <w:wordWrap/>
              <w:overflowPunct/>
              <w:topLinePunct w:val="0"/>
              <w:autoSpaceDE/>
              <w:autoSpaceDN/>
              <w:bidi w:val="0"/>
              <w:adjustRightInd/>
              <w:snapToGrid/>
              <w:spacing w:line="360" w:lineRule="exact"/>
              <w:ind w:firstLine="413" w:firstLineChars="196"/>
              <w:textAlignment w:val="auto"/>
              <w:rPr>
                <w:rFonts w:hint="eastAsia" w:ascii="宋体" w:hAnsi="宋体" w:eastAsia="宋体" w:cs="宋体"/>
                <w:b/>
                <w:sz w:val="21"/>
                <w:szCs w:val="21"/>
                <w:highlight w:val="none"/>
                <w:lang w:bidi="zh-TW"/>
              </w:rPr>
            </w:pPr>
            <w:r>
              <w:rPr>
                <w:rFonts w:hint="eastAsia" w:ascii="宋体" w:hAnsi="宋体" w:eastAsia="宋体" w:cs="宋体"/>
                <w:b/>
                <w:sz w:val="21"/>
                <w:szCs w:val="21"/>
                <w:highlight w:val="none"/>
                <w:lang w:bidi="en-US"/>
              </w:rPr>
              <w:t>第二个信封（报价文件）评审标准：</w:t>
            </w:r>
          </w:p>
          <w:p w14:paraId="4E023078">
            <w:pPr>
              <w:keepNext w:val="0"/>
              <w:keepLines w:val="0"/>
              <w:pageBreakBefore w:val="0"/>
              <w:widowControl w:val="0"/>
              <w:kinsoku/>
              <w:wordWrap/>
              <w:overflowPunct/>
              <w:topLinePunct w:val="0"/>
              <w:autoSpaceDE/>
              <w:autoSpaceDN/>
              <w:bidi w:val="0"/>
              <w:adjustRightInd/>
              <w:snapToGrid/>
              <w:spacing w:line="360" w:lineRule="exact"/>
              <w:ind w:right="113"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（1）投标文件按照招标文件规定的格式、内容填写，字迹清晰可辨，内容齐全完整：</w:t>
            </w:r>
          </w:p>
          <w:p w14:paraId="51168038">
            <w:pPr>
              <w:keepNext w:val="0"/>
              <w:keepLines w:val="0"/>
              <w:pageBreakBefore w:val="0"/>
              <w:widowControl w:val="0"/>
              <w:kinsoku/>
              <w:wordWrap/>
              <w:overflowPunct/>
              <w:topLinePunct w:val="0"/>
              <w:autoSpaceDE/>
              <w:autoSpaceDN/>
              <w:bidi w:val="0"/>
              <w:adjustRightInd/>
              <w:snapToGrid/>
              <w:spacing w:line="360" w:lineRule="exact"/>
              <w:ind w:right="113"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a.投标函按招标文件规定填报了项目名称、标段号、补遗书编号（如有）、投标价（包括大写金额和小写金额）；</w:t>
            </w:r>
          </w:p>
          <w:p w14:paraId="11214E79">
            <w:pPr>
              <w:keepNext w:val="0"/>
              <w:keepLines w:val="0"/>
              <w:pageBreakBefore w:val="0"/>
              <w:widowControl w:val="0"/>
              <w:kinsoku/>
              <w:wordWrap/>
              <w:overflowPunct/>
              <w:topLinePunct w:val="0"/>
              <w:autoSpaceDE/>
              <w:autoSpaceDN/>
              <w:bidi w:val="0"/>
              <w:adjustRightInd/>
              <w:snapToGrid/>
              <w:spacing w:line="360" w:lineRule="exact"/>
              <w:ind w:right="113"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b.已标价报价清单说明文字与招标文件规定一致，未进行实质性修改和删减；</w:t>
            </w:r>
          </w:p>
          <w:p w14:paraId="5285CC95">
            <w:pPr>
              <w:keepNext w:val="0"/>
              <w:keepLines w:val="0"/>
              <w:pageBreakBefore w:val="0"/>
              <w:widowControl w:val="0"/>
              <w:kinsoku/>
              <w:wordWrap/>
              <w:overflowPunct/>
              <w:topLinePunct w:val="0"/>
              <w:autoSpaceDE/>
              <w:autoSpaceDN/>
              <w:bidi w:val="0"/>
              <w:adjustRightInd/>
              <w:snapToGrid/>
              <w:spacing w:line="360" w:lineRule="exact"/>
              <w:ind w:right="113"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c.投标文件组成齐全完整，内容均按规定填写。</w:t>
            </w:r>
          </w:p>
          <w:p w14:paraId="7C76D150">
            <w:pPr>
              <w:keepNext w:val="0"/>
              <w:keepLines w:val="0"/>
              <w:pageBreakBefore w:val="0"/>
              <w:widowControl w:val="0"/>
              <w:kinsoku/>
              <w:wordWrap/>
              <w:overflowPunct/>
              <w:topLinePunct w:val="0"/>
              <w:autoSpaceDE/>
              <w:autoSpaceDN/>
              <w:bidi w:val="0"/>
              <w:adjustRightInd/>
              <w:snapToGrid/>
              <w:spacing w:line="360" w:lineRule="exact"/>
              <w:ind w:right="113"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（2）投标文件上法定代表人或其委托代理人的签字、投标人的单位章盖章齐全，符合招标文件规定。</w:t>
            </w:r>
          </w:p>
          <w:p w14:paraId="77EF91D4">
            <w:pPr>
              <w:keepNext w:val="0"/>
              <w:keepLines w:val="0"/>
              <w:pageBreakBefore w:val="0"/>
              <w:widowControl w:val="0"/>
              <w:kinsoku/>
              <w:wordWrap/>
              <w:overflowPunct/>
              <w:topLinePunct w:val="0"/>
              <w:autoSpaceDE/>
              <w:autoSpaceDN/>
              <w:bidi w:val="0"/>
              <w:adjustRightInd/>
              <w:snapToGrid/>
              <w:spacing w:line="360" w:lineRule="exact"/>
              <w:ind w:right="113"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（3）投标报价未超过招标文件设定的最高投标限价。</w:t>
            </w:r>
          </w:p>
          <w:p w14:paraId="29D0E87D">
            <w:pPr>
              <w:keepNext w:val="0"/>
              <w:keepLines w:val="0"/>
              <w:pageBreakBefore w:val="0"/>
              <w:widowControl w:val="0"/>
              <w:kinsoku/>
              <w:wordWrap/>
              <w:overflowPunct/>
              <w:topLinePunct w:val="0"/>
              <w:autoSpaceDE/>
              <w:autoSpaceDN/>
              <w:bidi w:val="0"/>
              <w:adjustRightInd/>
              <w:snapToGrid/>
              <w:spacing w:line="360" w:lineRule="exact"/>
              <w:ind w:right="113"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（4）投标报价的大写金额能够确定具体数值。</w:t>
            </w:r>
          </w:p>
          <w:p w14:paraId="55DEC220">
            <w:pPr>
              <w:keepNext w:val="0"/>
              <w:keepLines w:val="0"/>
              <w:pageBreakBefore w:val="0"/>
              <w:widowControl w:val="0"/>
              <w:tabs>
                <w:tab w:val="left" w:pos="756"/>
                <w:tab w:val="left" w:pos="1131"/>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bidi="zh-TW"/>
              </w:rPr>
            </w:pPr>
            <w:r>
              <w:rPr>
                <w:rFonts w:hint="eastAsia" w:ascii="宋体" w:hAnsi="宋体" w:eastAsia="宋体" w:cs="宋体"/>
                <w:sz w:val="21"/>
                <w:szCs w:val="21"/>
                <w:highlight w:val="none"/>
              </w:rPr>
              <w:t>（5）同一投标人未提交两个以上不同的投标报价，但招标文件要求提交备选投标的除外。</w:t>
            </w:r>
          </w:p>
        </w:tc>
      </w:tr>
      <w:tr w14:paraId="2BAC6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 w:type="dxa"/>
            <w:shd w:val="clear" w:color="auto" w:fill="auto"/>
            <w:vAlign w:val="center"/>
          </w:tcPr>
          <w:p w14:paraId="5C1FF8F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highlight w:val="none"/>
              </w:rPr>
            </w:pPr>
            <w:r>
              <w:rPr>
                <w:rStyle w:val="34"/>
                <w:rFonts w:hint="eastAsia" w:ascii="宋体" w:hAnsi="宋体" w:eastAsia="宋体" w:cs="宋体"/>
                <w:sz w:val="21"/>
                <w:szCs w:val="21"/>
                <w:highlight w:val="none"/>
              </w:rPr>
              <w:t>2.1.2</w:t>
            </w:r>
          </w:p>
        </w:tc>
        <w:tc>
          <w:tcPr>
            <w:tcW w:w="1604" w:type="dxa"/>
            <w:shd w:val="clear" w:color="auto" w:fill="auto"/>
            <w:vAlign w:val="center"/>
          </w:tcPr>
          <w:p w14:paraId="33813DE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资格</w:t>
            </w:r>
          </w:p>
          <w:p w14:paraId="196AC1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en-US"/>
              </w:rPr>
            </w:pPr>
            <w:r>
              <w:rPr>
                <w:rFonts w:hint="eastAsia" w:ascii="宋体" w:hAnsi="宋体" w:eastAsia="宋体" w:cs="宋体"/>
                <w:sz w:val="21"/>
                <w:szCs w:val="21"/>
                <w:highlight w:val="none"/>
              </w:rPr>
              <w:t>评审标准</w:t>
            </w:r>
          </w:p>
        </w:tc>
        <w:tc>
          <w:tcPr>
            <w:tcW w:w="7076" w:type="dxa"/>
            <w:shd w:val="clear" w:color="auto" w:fill="auto"/>
          </w:tcPr>
          <w:p w14:paraId="4C4E9C6E">
            <w:pPr>
              <w:keepNext w:val="0"/>
              <w:keepLines w:val="0"/>
              <w:pageBreakBefore w:val="0"/>
              <w:widowControl w:val="0"/>
              <w:kinsoku/>
              <w:wordWrap/>
              <w:overflowPunct/>
              <w:topLinePunct w:val="0"/>
              <w:autoSpaceDE/>
              <w:autoSpaceDN/>
              <w:bidi w:val="0"/>
              <w:adjustRightInd/>
              <w:snapToGrid/>
              <w:spacing w:line="360" w:lineRule="exact"/>
              <w:ind w:left="113" w:right="113"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（1）投标人具备有效的营业执照、资质证书和基本账户开户证明材料。</w:t>
            </w:r>
          </w:p>
          <w:p w14:paraId="2785F48C">
            <w:pPr>
              <w:keepNext w:val="0"/>
              <w:keepLines w:val="0"/>
              <w:pageBreakBefore w:val="0"/>
              <w:widowControl w:val="0"/>
              <w:kinsoku/>
              <w:wordWrap/>
              <w:overflowPunct/>
              <w:topLinePunct w:val="0"/>
              <w:autoSpaceDE/>
              <w:autoSpaceDN/>
              <w:bidi w:val="0"/>
              <w:adjustRightInd/>
              <w:snapToGrid/>
              <w:spacing w:line="360" w:lineRule="exact"/>
              <w:ind w:left="113" w:right="113"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（2）投标人的资质等级符合招标文件规定。</w:t>
            </w:r>
          </w:p>
          <w:p w14:paraId="7B77DE94">
            <w:pPr>
              <w:keepNext w:val="0"/>
              <w:keepLines w:val="0"/>
              <w:pageBreakBefore w:val="0"/>
              <w:widowControl w:val="0"/>
              <w:kinsoku/>
              <w:wordWrap/>
              <w:overflowPunct/>
              <w:topLinePunct w:val="0"/>
              <w:autoSpaceDE/>
              <w:autoSpaceDN/>
              <w:bidi w:val="0"/>
              <w:adjustRightInd/>
              <w:snapToGrid/>
              <w:spacing w:line="360" w:lineRule="exact"/>
              <w:ind w:left="113" w:right="113"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（3）投标人的类似项目业绩符合招标文件规定。</w:t>
            </w:r>
          </w:p>
          <w:p w14:paraId="2684D231">
            <w:pPr>
              <w:keepNext w:val="0"/>
              <w:keepLines w:val="0"/>
              <w:pageBreakBefore w:val="0"/>
              <w:widowControl w:val="0"/>
              <w:kinsoku/>
              <w:wordWrap/>
              <w:overflowPunct/>
              <w:topLinePunct w:val="0"/>
              <w:autoSpaceDE/>
              <w:autoSpaceDN/>
              <w:bidi w:val="0"/>
              <w:adjustRightInd/>
              <w:snapToGrid/>
              <w:spacing w:line="360" w:lineRule="exact"/>
              <w:ind w:left="113" w:right="113"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（4）投标人的信誉符合招标文件规定。</w:t>
            </w:r>
          </w:p>
          <w:p w14:paraId="28E135B4">
            <w:pPr>
              <w:keepNext w:val="0"/>
              <w:keepLines w:val="0"/>
              <w:pageBreakBefore w:val="0"/>
              <w:widowControl w:val="0"/>
              <w:kinsoku/>
              <w:wordWrap/>
              <w:overflowPunct/>
              <w:topLinePunct w:val="0"/>
              <w:autoSpaceDE/>
              <w:autoSpaceDN/>
              <w:bidi w:val="0"/>
              <w:adjustRightInd/>
              <w:snapToGrid/>
              <w:spacing w:line="360" w:lineRule="exact"/>
              <w:ind w:left="113" w:right="113"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（5）投标人的总监理工程师</w:t>
            </w:r>
            <w:r>
              <w:rPr>
                <w:rFonts w:hint="eastAsia" w:ascii="宋体" w:hAnsi="宋体" w:eastAsia="宋体" w:cs="宋体"/>
                <w:sz w:val="21"/>
                <w:szCs w:val="21"/>
                <w:highlight w:val="none"/>
                <w:lang w:val="en-US" w:eastAsia="zh-CN"/>
              </w:rPr>
              <w:t>或试验检测负责人</w:t>
            </w:r>
            <w:r>
              <w:rPr>
                <w:rFonts w:hint="eastAsia" w:ascii="宋体" w:hAnsi="宋体" w:eastAsia="宋体" w:cs="宋体"/>
                <w:sz w:val="21"/>
                <w:szCs w:val="21"/>
                <w:highlight w:val="none"/>
              </w:rPr>
              <w:t>资格、在岗情况符合招标文件规定。</w:t>
            </w:r>
          </w:p>
          <w:p w14:paraId="7AE8130C">
            <w:pPr>
              <w:keepNext w:val="0"/>
              <w:keepLines w:val="0"/>
              <w:pageBreakBefore w:val="0"/>
              <w:widowControl w:val="0"/>
              <w:kinsoku/>
              <w:wordWrap/>
              <w:overflowPunct/>
              <w:topLinePunct w:val="0"/>
              <w:autoSpaceDE/>
              <w:autoSpaceDN/>
              <w:bidi w:val="0"/>
              <w:adjustRightInd/>
              <w:snapToGrid/>
              <w:spacing w:line="360" w:lineRule="exact"/>
              <w:ind w:left="113" w:right="113"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（6）投标人不存在第二章“投标人须知”第1.4.3项或第1.4.4项规定的任何一种情形。</w:t>
            </w:r>
          </w:p>
          <w:p w14:paraId="4DBDB9EF">
            <w:pPr>
              <w:keepNext w:val="0"/>
              <w:keepLines w:val="0"/>
              <w:pageBreakBefore w:val="0"/>
              <w:widowControl w:val="0"/>
              <w:kinsoku/>
              <w:wordWrap/>
              <w:overflowPunct/>
              <w:topLinePunct w:val="0"/>
              <w:autoSpaceDE/>
              <w:autoSpaceDN/>
              <w:bidi w:val="0"/>
              <w:adjustRightInd/>
              <w:snapToGrid/>
              <w:spacing w:line="360" w:lineRule="exact"/>
              <w:ind w:left="113" w:right="113"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（7）投标人符合第二章“投标人须知”第1.4.5项规定。</w:t>
            </w:r>
            <w:r>
              <w:rPr>
                <w:rFonts w:hint="eastAsia" w:ascii="宋体" w:hAnsi="宋体" w:eastAsia="宋体" w:cs="宋体"/>
                <w:sz w:val="21"/>
                <w:szCs w:val="21"/>
                <w:highlight w:val="none"/>
                <w:vertAlign w:val="superscript"/>
              </w:rPr>
              <w:footnoteReference w:id="3"/>
            </w:r>
          </w:p>
        </w:tc>
      </w:tr>
      <w:tr w14:paraId="16D22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 w:type="dxa"/>
            <w:vMerge w:val="restart"/>
            <w:shd w:val="clear" w:color="auto" w:fill="auto"/>
            <w:vAlign w:val="center"/>
          </w:tcPr>
          <w:p w14:paraId="4513A7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Style w:val="33"/>
                <w:rFonts w:hint="eastAsia" w:ascii="宋体" w:hAnsi="宋体" w:eastAsia="宋体" w:cs="宋体"/>
                <w:sz w:val="21"/>
                <w:szCs w:val="21"/>
                <w:highlight w:val="none"/>
              </w:rPr>
              <w:t>2</w:t>
            </w:r>
            <w:r>
              <w:rPr>
                <w:rStyle w:val="35"/>
                <w:rFonts w:hint="eastAsia" w:ascii="宋体" w:hAnsi="宋体" w:eastAsia="宋体" w:cs="宋体"/>
                <w:sz w:val="21"/>
                <w:szCs w:val="21"/>
                <w:highlight w:val="none"/>
              </w:rPr>
              <w:t>.</w:t>
            </w:r>
            <w:r>
              <w:rPr>
                <w:rStyle w:val="33"/>
                <w:rFonts w:hint="eastAsia" w:ascii="宋体" w:hAnsi="宋体" w:eastAsia="宋体" w:cs="宋体"/>
                <w:sz w:val="21"/>
                <w:szCs w:val="21"/>
                <w:highlight w:val="none"/>
              </w:rPr>
              <w:t>2.1</w:t>
            </w:r>
          </w:p>
        </w:tc>
        <w:tc>
          <w:tcPr>
            <w:tcW w:w="1604" w:type="dxa"/>
            <w:vMerge w:val="restart"/>
            <w:shd w:val="clear" w:color="auto" w:fill="auto"/>
            <w:vAlign w:val="center"/>
          </w:tcPr>
          <w:p w14:paraId="45A063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en-US"/>
              </w:rPr>
            </w:pPr>
            <w:r>
              <w:rPr>
                <w:rFonts w:hint="eastAsia" w:ascii="宋体" w:hAnsi="宋体" w:eastAsia="宋体" w:cs="宋体"/>
                <w:sz w:val="21"/>
                <w:szCs w:val="21"/>
                <w:highlight w:val="none"/>
                <w:lang w:bidi="en-US"/>
              </w:rPr>
              <w:t>分值构成</w:t>
            </w:r>
          </w:p>
          <w:p w14:paraId="45DCF9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zh-TW"/>
              </w:rPr>
            </w:pPr>
            <w:r>
              <w:rPr>
                <w:rFonts w:hint="eastAsia" w:ascii="宋体" w:hAnsi="宋体" w:eastAsia="宋体" w:cs="宋体"/>
                <w:sz w:val="21"/>
                <w:szCs w:val="21"/>
                <w:highlight w:val="none"/>
                <w:lang w:bidi="en-US"/>
              </w:rPr>
              <w:t>(总100分）</w:t>
            </w:r>
          </w:p>
        </w:tc>
        <w:tc>
          <w:tcPr>
            <w:tcW w:w="7076" w:type="dxa"/>
            <w:shd w:val="clear" w:color="auto" w:fill="auto"/>
          </w:tcPr>
          <w:p w14:paraId="0A97A3D3">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sz w:val="21"/>
                <w:szCs w:val="21"/>
                <w:highlight w:val="none"/>
                <w:lang w:bidi="zh-TW"/>
              </w:rPr>
            </w:pPr>
            <w:r>
              <w:rPr>
                <w:rFonts w:hint="eastAsia" w:ascii="宋体" w:hAnsi="宋体" w:eastAsia="宋体" w:cs="宋体"/>
                <w:b/>
                <w:sz w:val="21"/>
                <w:szCs w:val="21"/>
                <w:highlight w:val="none"/>
                <w:lang w:val="en-US" w:eastAsia="zh-CN" w:bidi="en-US"/>
              </w:rPr>
              <w:t>施工监理标段</w:t>
            </w:r>
            <w:r>
              <w:rPr>
                <w:rFonts w:hint="eastAsia" w:ascii="宋体" w:hAnsi="宋体" w:eastAsia="宋体" w:cs="宋体"/>
                <w:b/>
                <w:sz w:val="21"/>
                <w:szCs w:val="21"/>
                <w:highlight w:val="none"/>
                <w:lang w:bidi="en-US"/>
              </w:rPr>
              <w:t>第一个信封（商务及技术文件）评分分值构成：</w:t>
            </w:r>
          </w:p>
          <w:p w14:paraId="6438FA4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bidi="en-US"/>
              </w:rPr>
            </w:pPr>
            <w:r>
              <w:rPr>
                <w:rFonts w:hint="eastAsia" w:ascii="宋体" w:hAnsi="宋体" w:eastAsia="宋体" w:cs="宋体"/>
                <w:sz w:val="21"/>
                <w:szCs w:val="21"/>
                <w:highlight w:val="none"/>
                <w:lang w:bidi="en-US"/>
              </w:rPr>
              <w:t>技术建议书：</w:t>
            </w:r>
            <w:r>
              <w:rPr>
                <w:rFonts w:hint="eastAsia" w:ascii="宋体" w:hAnsi="宋体" w:eastAsia="宋体" w:cs="宋体"/>
                <w:sz w:val="21"/>
                <w:szCs w:val="21"/>
                <w:highlight w:val="none"/>
                <w:u w:val="single"/>
                <w:lang w:bidi="en-US"/>
              </w:rPr>
              <w:t xml:space="preserve"> 35 </w:t>
            </w:r>
            <w:r>
              <w:rPr>
                <w:rFonts w:hint="eastAsia" w:ascii="宋体" w:hAnsi="宋体" w:eastAsia="宋体" w:cs="宋体"/>
                <w:sz w:val="21"/>
                <w:szCs w:val="21"/>
                <w:highlight w:val="none"/>
                <w:lang w:bidi="en-US"/>
              </w:rPr>
              <w:t xml:space="preserve">分 </w:t>
            </w:r>
          </w:p>
          <w:p w14:paraId="7D5EEDD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bidi="en-US"/>
              </w:rPr>
            </w:pPr>
            <w:r>
              <w:rPr>
                <w:rFonts w:hint="eastAsia" w:ascii="宋体" w:hAnsi="宋体" w:eastAsia="宋体" w:cs="宋体"/>
                <w:sz w:val="21"/>
                <w:szCs w:val="21"/>
                <w:highlight w:val="none"/>
                <w:lang w:bidi="en-US"/>
              </w:rPr>
              <w:t>主要人员：</w:t>
            </w:r>
            <w:r>
              <w:rPr>
                <w:rFonts w:hint="eastAsia" w:ascii="宋体" w:hAnsi="宋体" w:eastAsia="宋体" w:cs="宋体"/>
                <w:sz w:val="21"/>
                <w:szCs w:val="21"/>
                <w:highlight w:val="none"/>
                <w:u w:val="single"/>
                <w:lang w:bidi="en-US"/>
              </w:rPr>
              <w:t xml:space="preserve"> 25 </w:t>
            </w:r>
            <w:r>
              <w:rPr>
                <w:rFonts w:hint="eastAsia" w:ascii="宋体" w:hAnsi="宋体" w:eastAsia="宋体" w:cs="宋体"/>
                <w:sz w:val="21"/>
                <w:szCs w:val="21"/>
                <w:highlight w:val="none"/>
                <w:lang w:bidi="en-US"/>
              </w:rPr>
              <w:t xml:space="preserve">分 </w:t>
            </w:r>
          </w:p>
          <w:p w14:paraId="7F0D7C5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bidi="en-US"/>
              </w:rPr>
            </w:pPr>
            <w:r>
              <w:rPr>
                <w:rFonts w:hint="eastAsia" w:ascii="宋体" w:hAnsi="宋体" w:eastAsia="宋体" w:cs="宋体"/>
                <w:sz w:val="21"/>
                <w:szCs w:val="21"/>
                <w:highlight w:val="none"/>
                <w:lang w:bidi="en-US"/>
              </w:rPr>
              <w:t>业绩：</w:t>
            </w:r>
            <w:r>
              <w:rPr>
                <w:rFonts w:hint="eastAsia" w:ascii="宋体" w:hAnsi="宋体" w:eastAsia="宋体" w:cs="宋体"/>
                <w:sz w:val="21"/>
                <w:szCs w:val="21"/>
                <w:highlight w:val="none"/>
                <w:u w:val="single"/>
                <w:lang w:bidi="en-US"/>
              </w:rPr>
              <w:t xml:space="preserve"> 20 </w:t>
            </w:r>
            <w:r>
              <w:rPr>
                <w:rFonts w:hint="eastAsia" w:ascii="宋体" w:hAnsi="宋体" w:eastAsia="宋体" w:cs="宋体"/>
                <w:sz w:val="21"/>
                <w:szCs w:val="21"/>
                <w:highlight w:val="none"/>
                <w:lang w:bidi="en-US"/>
              </w:rPr>
              <w:t xml:space="preserve">分 </w:t>
            </w:r>
          </w:p>
          <w:p w14:paraId="73FAEE5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bidi="en-US"/>
              </w:rPr>
            </w:pPr>
            <w:r>
              <w:rPr>
                <w:rFonts w:hint="eastAsia" w:ascii="宋体" w:hAnsi="宋体" w:eastAsia="宋体" w:cs="宋体"/>
                <w:sz w:val="21"/>
                <w:szCs w:val="21"/>
                <w:highlight w:val="none"/>
                <w:lang w:bidi="en-US"/>
              </w:rPr>
              <w:t>履约信誉：</w:t>
            </w:r>
            <w:r>
              <w:rPr>
                <w:rFonts w:hint="eastAsia" w:ascii="宋体" w:hAnsi="宋体" w:eastAsia="宋体" w:cs="宋体"/>
                <w:sz w:val="21"/>
                <w:szCs w:val="21"/>
                <w:highlight w:val="none"/>
                <w:u w:val="single"/>
                <w:lang w:bidi="en-US"/>
              </w:rPr>
              <w:t xml:space="preserve"> 10 </w:t>
            </w:r>
            <w:r>
              <w:rPr>
                <w:rFonts w:hint="eastAsia" w:ascii="宋体" w:hAnsi="宋体" w:eastAsia="宋体" w:cs="宋体"/>
                <w:sz w:val="21"/>
                <w:szCs w:val="21"/>
                <w:highlight w:val="none"/>
                <w:lang w:bidi="en-US"/>
              </w:rPr>
              <w:t>分</w:t>
            </w:r>
          </w:p>
          <w:p w14:paraId="1484AF32">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sz w:val="21"/>
                <w:szCs w:val="21"/>
                <w:highlight w:val="none"/>
                <w:lang w:bidi="en-US"/>
              </w:rPr>
            </w:pPr>
            <w:r>
              <w:rPr>
                <w:rFonts w:hint="eastAsia" w:ascii="宋体" w:hAnsi="宋体" w:eastAsia="宋体" w:cs="宋体"/>
                <w:b/>
                <w:sz w:val="21"/>
                <w:szCs w:val="21"/>
                <w:highlight w:val="none"/>
                <w:lang w:val="en-US" w:eastAsia="zh-CN" w:bidi="en-US"/>
              </w:rPr>
              <w:t>施工监理标段</w:t>
            </w:r>
            <w:r>
              <w:rPr>
                <w:rFonts w:hint="eastAsia" w:ascii="宋体" w:hAnsi="宋体" w:eastAsia="宋体" w:cs="宋体"/>
                <w:b/>
                <w:sz w:val="21"/>
                <w:szCs w:val="21"/>
                <w:highlight w:val="none"/>
                <w:lang w:bidi="en-US"/>
              </w:rPr>
              <w:t>第二个信封（报价文件）评分分值构成：</w:t>
            </w:r>
          </w:p>
          <w:p w14:paraId="6BE5CA0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bidi="en-US"/>
              </w:rPr>
            </w:pPr>
            <w:r>
              <w:rPr>
                <w:rFonts w:hint="eastAsia" w:ascii="宋体" w:hAnsi="宋体" w:eastAsia="宋体" w:cs="宋体"/>
                <w:sz w:val="21"/>
                <w:szCs w:val="21"/>
                <w:highlight w:val="none"/>
                <w:lang w:bidi="en-US"/>
              </w:rPr>
              <w:t>评标价：</w:t>
            </w:r>
            <w:r>
              <w:rPr>
                <w:rFonts w:hint="eastAsia" w:ascii="宋体" w:hAnsi="宋体" w:eastAsia="宋体" w:cs="宋体"/>
                <w:sz w:val="21"/>
                <w:szCs w:val="21"/>
                <w:highlight w:val="none"/>
                <w:u w:val="single"/>
                <w:lang w:bidi="en-US"/>
              </w:rPr>
              <w:t xml:space="preserve"> 10 </w:t>
            </w:r>
            <w:r>
              <w:rPr>
                <w:rFonts w:hint="eastAsia" w:ascii="宋体" w:hAnsi="宋体" w:eastAsia="宋体" w:cs="宋体"/>
                <w:sz w:val="21"/>
                <w:szCs w:val="21"/>
                <w:highlight w:val="none"/>
                <w:lang w:bidi="en-US"/>
              </w:rPr>
              <w:t>分</w:t>
            </w:r>
          </w:p>
        </w:tc>
      </w:tr>
      <w:tr w14:paraId="28491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 w:type="dxa"/>
            <w:vMerge w:val="continue"/>
            <w:shd w:val="clear" w:color="auto" w:fill="auto"/>
            <w:vAlign w:val="center"/>
          </w:tcPr>
          <w:p w14:paraId="43FBB45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3"/>
                <w:rFonts w:hint="eastAsia" w:ascii="宋体" w:hAnsi="宋体" w:eastAsia="宋体" w:cs="宋体"/>
                <w:sz w:val="21"/>
                <w:szCs w:val="21"/>
                <w:highlight w:val="none"/>
              </w:rPr>
            </w:pPr>
          </w:p>
        </w:tc>
        <w:tc>
          <w:tcPr>
            <w:tcW w:w="1604" w:type="dxa"/>
            <w:vMerge w:val="continue"/>
            <w:shd w:val="clear" w:color="auto" w:fill="auto"/>
            <w:vAlign w:val="center"/>
          </w:tcPr>
          <w:p w14:paraId="7485D2E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bidi="en-US"/>
              </w:rPr>
            </w:pPr>
          </w:p>
        </w:tc>
        <w:tc>
          <w:tcPr>
            <w:tcW w:w="7076" w:type="dxa"/>
            <w:shd w:val="clear" w:color="auto" w:fill="auto"/>
          </w:tcPr>
          <w:p w14:paraId="6D19BA61">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sz w:val="21"/>
                <w:szCs w:val="21"/>
                <w:highlight w:val="none"/>
                <w:lang w:bidi="zh-TW"/>
              </w:rPr>
            </w:pPr>
            <w:r>
              <w:rPr>
                <w:rFonts w:hint="eastAsia" w:ascii="宋体" w:hAnsi="宋体" w:eastAsia="宋体" w:cs="宋体"/>
                <w:b/>
                <w:sz w:val="21"/>
                <w:szCs w:val="21"/>
                <w:highlight w:val="none"/>
                <w:lang w:val="en-US" w:eastAsia="zh-CN" w:bidi="en-US"/>
              </w:rPr>
              <w:t>中心试验室标段</w:t>
            </w:r>
            <w:r>
              <w:rPr>
                <w:rFonts w:hint="eastAsia" w:ascii="宋体" w:hAnsi="宋体" w:eastAsia="宋体" w:cs="宋体"/>
                <w:b/>
                <w:sz w:val="21"/>
                <w:szCs w:val="21"/>
                <w:highlight w:val="none"/>
                <w:lang w:bidi="en-US"/>
              </w:rPr>
              <w:t>第一个信封（商务及技术文件）评分分值构成：</w:t>
            </w:r>
          </w:p>
          <w:p w14:paraId="1342515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bidi="en-US"/>
              </w:rPr>
            </w:pPr>
            <w:r>
              <w:rPr>
                <w:rFonts w:hint="eastAsia" w:ascii="宋体" w:hAnsi="宋体" w:eastAsia="宋体" w:cs="宋体"/>
                <w:sz w:val="21"/>
                <w:szCs w:val="21"/>
                <w:highlight w:val="none"/>
                <w:lang w:bidi="en-US"/>
              </w:rPr>
              <w:t>技术建议书：</w:t>
            </w:r>
            <w:r>
              <w:rPr>
                <w:rFonts w:hint="eastAsia" w:ascii="宋体" w:hAnsi="宋体" w:eastAsia="宋体" w:cs="宋体"/>
                <w:sz w:val="21"/>
                <w:szCs w:val="21"/>
                <w:highlight w:val="none"/>
                <w:u w:val="single"/>
                <w:lang w:bidi="en-US"/>
              </w:rPr>
              <w:t xml:space="preserve"> 35 </w:t>
            </w:r>
            <w:r>
              <w:rPr>
                <w:rFonts w:hint="eastAsia" w:ascii="宋体" w:hAnsi="宋体" w:eastAsia="宋体" w:cs="宋体"/>
                <w:sz w:val="21"/>
                <w:szCs w:val="21"/>
                <w:highlight w:val="none"/>
                <w:lang w:bidi="en-US"/>
              </w:rPr>
              <w:t xml:space="preserve">分 </w:t>
            </w:r>
          </w:p>
          <w:p w14:paraId="0C95FAC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bidi="en-US"/>
              </w:rPr>
            </w:pPr>
            <w:r>
              <w:rPr>
                <w:rFonts w:hint="eastAsia" w:ascii="宋体" w:hAnsi="宋体" w:eastAsia="宋体" w:cs="宋体"/>
                <w:sz w:val="21"/>
                <w:szCs w:val="21"/>
                <w:highlight w:val="none"/>
                <w:lang w:bidi="en-US"/>
              </w:rPr>
              <w:t>主要人员：</w:t>
            </w:r>
            <w:r>
              <w:rPr>
                <w:rFonts w:hint="eastAsia" w:ascii="宋体" w:hAnsi="宋体" w:eastAsia="宋体" w:cs="宋体"/>
                <w:sz w:val="21"/>
                <w:szCs w:val="21"/>
                <w:highlight w:val="none"/>
                <w:u w:val="single"/>
                <w:lang w:bidi="en-US"/>
              </w:rPr>
              <w:t xml:space="preserve"> </w:t>
            </w:r>
            <w:r>
              <w:rPr>
                <w:rFonts w:hint="eastAsia" w:ascii="宋体" w:hAnsi="宋体" w:eastAsia="宋体" w:cs="宋体"/>
                <w:sz w:val="21"/>
                <w:szCs w:val="21"/>
                <w:highlight w:val="none"/>
                <w:u w:val="single"/>
                <w:lang w:val="en-US" w:eastAsia="zh-CN" w:bidi="en-US"/>
              </w:rPr>
              <w:t>30</w:t>
            </w:r>
            <w:r>
              <w:rPr>
                <w:rFonts w:hint="eastAsia" w:ascii="宋体" w:hAnsi="宋体" w:eastAsia="宋体" w:cs="宋体"/>
                <w:sz w:val="21"/>
                <w:szCs w:val="21"/>
                <w:highlight w:val="none"/>
                <w:u w:val="single"/>
                <w:lang w:bidi="en-US"/>
              </w:rPr>
              <w:t xml:space="preserve"> </w:t>
            </w:r>
            <w:r>
              <w:rPr>
                <w:rFonts w:hint="eastAsia" w:ascii="宋体" w:hAnsi="宋体" w:eastAsia="宋体" w:cs="宋体"/>
                <w:sz w:val="21"/>
                <w:szCs w:val="21"/>
                <w:highlight w:val="none"/>
                <w:lang w:bidi="en-US"/>
              </w:rPr>
              <w:t xml:space="preserve">分 </w:t>
            </w:r>
          </w:p>
          <w:p w14:paraId="346BCEF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bidi="en-US"/>
              </w:rPr>
            </w:pPr>
            <w:r>
              <w:rPr>
                <w:rFonts w:hint="eastAsia" w:ascii="宋体" w:hAnsi="宋体" w:eastAsia="宋体" w:cs="宋体"/>
                <w:sz w:val="21"/>
                <w:szCs w:val="21"/>
                <w:highlight w:val="none"/>
                <w:lang w:bidi="en-US"/>
              </w:rPr>
              <w:t>业绩：</w:t>
            </w:r>
            <w:r>
              <w:rPr>
                <w:rFonts w:hint="eastAsia" w:ascii="宋体" w:hAnsi="宋体" w:eastAsia="宋体" w:cs="宋体"/>
                <w:sz w:val="21"/>
                <w:szCs w:val="21"/>
                <w:highlight w:val="none"/>
                <w:u w:val="single"/>
                <w:lang w:bidi="en-US"/>
              </w:rPr>
              <w:t xml:space="preserve"> 2</w:t>
            </w:r>
            <w:r>
              <w:rPr>
                <w:rFonts w:hint="eastAsia" w:ascii="宋体" w:hAnsi="宋体" w:eastAsia="宋体" w:cs="宋体"/>
                <w:sz w:val="21"/>
                <w:szCs w:val="21"/>
                <w:highlight w:val="none"/>
                <w:u w:val="single"/>
                <w:lang w:val="en-US" w:eastAsia="zh-CN" w:bidi="en-US"/>
              </w:rPr>
              <w:t>5</w:t>
            </w:r>
            <w:r>
              <w:rPr>
                <w:rFonts w:hint="eastAsia" w:ascii="宋体" w:hAnsi="宋体" w:eastAsia="宋体" w:cs="宋体"/>
                <w:sz w:val="21"/>
                <w:szCs w:val="21"/>
                <w:highlight w:val="none"/>
                <w:u w:val="single"/>
                <w:lang w:bidi="en-US"/>
              </w:rPr>
              <w:t xml:space="preserve"> </w:t>
            </w:r>
            <w:r>
              <w:rPr>
                <w:rFonts w:hint="eastAsia" w:ascii="宋体" w:hAnsi="宋体" w:eastAsia="宋体" w:cs="宋体"/>
                <w:sz w:val="21"/>
                <w:szCs w:val="21"/>
                <w:highlight w:val="none"/>
                <w:lang w:bidi="en-US"/>
              </w:rPr>
              <w:t xml:space="preserve">分 </w:t>
            </w:r>
          </w:p>
          <w:p w14:paraId="78A4BDFA">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sz w:val="21"/>
                <w:szCs w:val="21"/>
                <w:highlight w:val="none"/>
                <w:lang w:bidi="en-US"/>
              </w:rPr>
            </w:pPr>
            <w:r>
              <w:rPr>
                <w:rFonts w:hint="eastAsia" w:ascii="宋体" w:hAnsi="宋体" w:eastAsia="宋体" w:cs="宋体"/>
                <w:b/>
                <w:sz w:val="21"/>
                <w:szCs w:val="21"/>
                <w:highlight w:val="none"/>
                <w:lang w:val="en-US" w:eastAsia="zh-CN" w:bidi="en-US"/>
              </w:rPr>
              <w:t>中心试验室标段</w:t>
            </w:r>
            <w:r>
              <w:rPr>
                <w:rFonts w:hint="eastAsia" w:ascii="宋体" w:hAnsi="宋体" w:eastAsia="宋体" w:cs="宋体"/>
                <w:b/>
                <w:sz w:val="21"/>
                <w:szCs w:val="21"/>
                <w:highlight w:val="none"/>
                <w:lang w:bidi="en-US"/>
              </w:rPr>
              <w:t>第二个信封（报价文件）评分分值构成：</w:t>
            </w:r>
          </w:p>
          <w:p w14:paraId="4A381C7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highlight w:val="none"/>
                <w:lang w:bidi="en-US"/>
              </w:rPr>
            </w:pPr>
            <w:r>
              <w:rPr>
                <w:rFonts w:hint="eastAsia" w:ascii="宋体" w:hAnsi="宋体" w:eastAsia="宋体" w:cs="宋体"/>
                <w:sz w:val="21"/>
                <w:szCs w:val="21"/>
                <w:highlight w:val="none"/>
                <w:lang w:bidi="en-US"/>
              </w:rPr>
              <w:t>评标价：</w:t>
            </w:r>
            <w:r>
              <w:rPr>
                <w:rFonts w:hint="eastAsia" w:ascii="宋体" w:hAnsi="宋体" w:eastAsia="宋体" w:cs="宋体"/>
                <w:sz w:val="21"/>
                <w:szCs w:val="21"/>
                <w:highlight w:val="none"/>
                <w:u w:val="single"/>
                <w:lang w:bidi="en-US"/>
              </w:rPr>
              <w:t xml:space="preserve"> 10 </w:t>
            </w:r>
            <w:r>
              <w:rPr>
                <w:rFonts w:hint="eastAsia" w:ascii="宋体" w:hAnsi="宋体" w:eastAsia="宋体" w:cs="宋体"/>
                <w:sz w:val="21"/>
                <w:szCs w:val="21"/>
                <w:highlight w:val="none"/>
                <w:lang w:bidi="en-US"/>
              </w:rPr>
              <w:t>分</w:t>
            </w:r>
          </w:p>
        </w:tc>
      </w:tr>
      <w:tr w14:paraId="6D421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 w:type="dxa"/>
            <w:shd w:val="clear" w:color="auto" w:fill="auto"/>
            <w:vAlign w:val="center"/>
          </w:tcPr>
          <w:p w14:paraId="49C31EA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Style w:val="33"/>
                <w:rFonts w:hint="eastAsia" w:ascii="宋体" w:hAnsi="宋体" w:eastAsia="宋体" w:cs="宋体"/>
                <w:sz w:val="21"/>
                <w:szCs w:val="21"/>
                <w:highlight w:val="none"/>
              </w:rPr>
              <w:t>2</w:t>
            </w:r>
            <w:r>
              <w:rPr>
                <w:rStyle w:val="35"/>
                <w:rFonts w:hint="eastAsia" w:ascii="宋体" w:hAnsi="宋体" w:eastAsia="宋体" w:cs="宋体"/>
                <w:sz w:val="21"/>
                <w:szCs w:val="21"/>
                <w:highlight w:val="none"/>
              </w:rPr>
              <w:t>.</w:t>
            </w:r>
            <w:r>
              <w:rPr>
                <w:rStyle w:val="33"/>
                <w:rFonts w:hint="eastAsia" w:ascii="宋体" w:hAnsi="宋体" w:eastAsia="宋体" w:cs="宋体"/>
                <w:sz w:val="21"/>
                <w:szCs w:val="21"/>
                <w:highlight w:val="none"/>
              </w:rPr>
              <w:t>2.2</w:t>
            </w:r>
          </w:p>
        </w:tc>
        <w:tc>
          <w:tcPr>
            <w:tcW w:w="1604" w:type="dxa"/>
            <w:shd w:val="clear" w:color="auto" w:fill="auto"/>
            <w:vAlign w:val="center"/>
          </w:tcPr>
          <w:p w14:paraId="005785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评标基准价计算方法</w:t>
            </w:r>
          </w:p>
        </w:tc>
        <w:tc>
          <w:tcPr>
            <w:tcW w:w="7076" w:type="dxa"/>
            <w:shd w:val="clear" w:color="auto" w:fill="auto"/>
          </w:tcPr>
          <w:p w14:paraId="1E007B48">
            <w:pPr>
              <w:keepNext w:val="0"/>
              <w:keepLines w:val="0"/>
              <w:pageBreakBefore w:val="0"/>
              <w:widowControl w:val="0"/>
              <w:kinsoku/>
              <w:wordWrap/>
              <w:overflowPunct/>
              <w:topLinePunct w:val="0"/>
              <w:autoSpaceDE/>
              <w:autoSpaceDN/>
              <w:bidi w:val="0"/>
              <w:adjustRightInd/>
              <w:snapToGrid/>
              <w:spacing w:line="360" w:lineRule="exact"/>
              <w:ind w:left="113" w:leftChars="54" w:right="113"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评标基准价的计算：</w:t>
            </w:r>
          </w:p>
          <w:p w14:paraId="798416D7">
            <w:pPr>
              <w:keepNext w:val="0"/>
              <w:keepLines w:val="0"/>
              <w:pageBreakBefore w:val="0"/>
              <w:widowControl w:val="0"/>
              <w:kinsoku/>
              <w:wordWrap/>
              <w:overflowPunct/>
              <w:topLinePunct w:val="0"/>
              <w:autoSpaceDE/>
              <w:autoSpaceDN/>
              <w:bidi w:val="0"/>
              <w:adjustRightInd/>
              <w:snapToGrid/>
              <w:spacing w:line="360" w:lineRule="exact"/>
              <w:ind w:left="113" w:leftChars="54" w:right="113"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在开标现场，招标人将当场计算并宣布评标基准价。</w:t>
            </w:r>
          </w:p>
          <w:p w14:paraId="4E790C87">
            <w:pPr>
              <w:keepNext w:val="0"/>
              <w:keepLines w:val="0"/>
              <w:pageBreakBefore w:val="0"/>
              <w:widowControl w:val="0"/>
              <w:kinsoku/>
              <w:wordWrap/>
              <w:overflowPunct/>
              <w:topLinePunct w:val="0"/>
              <w:autoSpaceDE/>
              <w:autoSpaceDN/>
              <w:bidi w:val="0"/>
              <w:adjustRightInd/>
              <w:snapToGrid/>
              <w:spacing w:line="360" w:lineRule="exact"/>
              <w:ind w:left="113" w:leftChars="54" w:right="113" w:firstLine="315"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（1）评标价的确定：</w:t>
            </w:r>
          </w:p>
          <w:p w14:paraId="4BACDCFA">
            <w:pPr>
              <w:keepNext w:val="0"/>
              <w:keepLines w:val="0"/>
              <w:pageBreakBefore w:val="0"/>
              <w:widowControl w:val="0"/>
              <w:kinsoku/>
              <w:wordWrap/>
              <w:overflowPunct/>
              <w:topLinePunct w:val="0"/>
              <w:autoSpaceDE/>
              <w:autoSpaceDN/>
              <w:bidi w:val="0"/>
              <w:adjustRightInd/>
              <w:snapToGrid/>
              <w:spacing w:line="360" w:lineRule="exact"/>
              <w:ind w:left="113" w:leftChars="54" w:right="113"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评标价=投标函文字报价</w:t>
            </w:r>
          </w:p>
          <w:p w14:paraId="709CCF73">
            <w:pPr>
              <w:keepNext w:val="0"/>
              <w:keepLines w:val="0"/>
              <w:pageBreakBefore w:val="0"/>
              <w:widowControl w:val="0"/>
              <w:kinsoku/>
              <w:wordWrap/>
              <w:overflowPunct/>
              <w:topLinePunct w:val="0"/>
              <w:autoSpaceDE/>
              <w:autoSpaceDN/>
              <w:bidi w:val="0"/>
              <w:adjustRightInd/>
              <w:snapToGrid/>
              <w:spacing w:line="360" w:lineRule="exact"/>
              <w:ind w:left="113" w:leftChars="54" w:right="113" w:firstLine="315" w:firstLineChars="1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（2）评标价平均值的计算：</w:t>
            </w:r>
          </w:p>
          <w:p w14:paraId="5FABF5D1">
            <w:pPr>
              <w:keepNext w:val="0"/>
              <w:keepLines w:val="0"/>
              <w:pageBreakBefore w:val="0"/>
              <w:widowControl w:val="0"/>
              <w:kinsoku/>
              <w:wordWrap/>
              <w:overflowPunct/>
              <w:topLinePunct w:val="0"/>
              <w:autoSpaceDE/>
              <w:autoSpaceDN/>
              <w:bidi w:val="0"/>
              <w:adjustRightInd/>
              <w:snapToGrid/>
              <w:spacing w:line="360" w:lineRule="exact"/>
              <w:ind w:left="113" w:leftChars="54" w:right="113"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除按第二章“投标人须知”第5.2.</w:t>
            </w:r>
            <w:r>
              <w:rPr>
                <w:rFonts w:hint="eastAsia" w:ascii="宋体" w:hAnsi="宋体" w:eastAsia="宋体" w:cs="宋体"/>
                <w:sz w:val="21"/>
                <w:szCs w:val="21"/>
                <w:highlight w:val="none"/>
              </w:rPr>
              <w:t>4</w:t>
            </w:r>
            <w:r>
              <w:rPr>
                <w:rFonts w:hint="eastAsia" w:ascii="宋体" w:hAnsi="宋体" w:eastAsia="宋体" w:cs="宋体"/>
                <w:sz w:val="21"/>
                <w:szCs w:val="21"/>
                <w:highlight w:val="none"/>
              </w:rPr>
              <w:t>项规定开标现场被宣布为</w:t>
            </w:r>
            <w:r>
              <w:rPr>
                <w:rFonts w:hint="eastAsia" w:ascii="宋体" w:hAnsi="宋体" w:eastAsia="宋体" w:cs="宋体"/>
                <w:sz w:val="21"/>
                <w:szCs w:val="21"/>
                <w:highlight w:val="none"/>
              </w:rPr>
              <w:t>不参与评标基准价计算</w:t>
            </w:r>
            <w:r>
              <w:rPr>
                <w:rFonts w:hint="eastAsia" w:ascii="宋体" w:hAnsi="宋体" w:eastAsia="宋体" w:cs="宋体"/>
                <w:sz w:val="21"/>
                <w:szCs w:val="21"/>
                <w:highlight w:val="none"/>
              </w:rPr>
              <w:t>的投标报价之外，</w:t>
            </w:r>
            <w:r>
              <w:rPr>
                <w:rFonts w:hint="eastAsia" w:ascii="宋体" w:hAnsi="宋体" w:eastAsia="宋体" w:cs="宋体"/>
                <w:sz w:val="21"/>
                <w:szCs w:val="21"/>
                <w:highlight w:val="none"/>
              </w:rPr>
              <w:t>所有投标人的评标价去掉一个最高值和一个最低值后的算术平均值即为评标价平均值</w:t>
            </w:r>
            <w:r>
              <w:rPr>
                <w:rFonts w:hint="eastAsia" w:ascii="宋体" w:hAnsi="宋体" w:eastAsia="宋体" w:cs="宋体"/>
                <w:bCs/>
                <w:sz w:val="21"/>
                <w:szCs w:val="21"/>
                <w:highlight w:val="none"/>
              </w:rPr>
              <w:t>（</w:t>
            </w:r>
            <w:r>
              <w:rPr>
                <w:rFonts w:hint="eastAsia" w:ascii="宋体" w:hAnsi="宋体" w:eastAsia="宋体" w:cs="宋体"/>
                <w:bCs/>
                <w:sz w:val="21"/>
                <w:szCs w:val="21"/>
                <w:highlight w:val="none"/>
              </w:rPr>
              <w:t>如</w:t>
            </w:r>
            <w:r>
              <w:rPr>
                <w:rFonts w:hint="eastAsia" w:ascii="宋体" w:hAnsi="宋体" w:eastAsia="宋体" w:cs="宋体"/>
                <w:bCs/>
                <w:sz w:val="21"/>
                <w:szCs w:val="21"/>
                <w:highlight w:val="none"/>
              </w:rPr>
              <w:t>果参与评标价平均值计算的有效投标人少于5家时</w:t>
            </w:r>
            <w:r>
              <w:rPr>
                <w:rFonts w:hint="eastAsia" w:ascii="宋体" w:hAnsi="宋体" w:eastAsia="宋体" w:cs="宋体"/>
                <w:bCs/>
                <w:sz w:val="21"/>
                <w:szCs w:val="21"/>
                <w:highlight w:val="none"/>
              </w:rPr>
              <w:t>，则</w:t>
            </w:r>
            <w:r>
              <w:rPr>
                <w:rFonts w:hint="eastAsia" w:ascii="宋体" w:hAnsi="宋体" w:eastAsia="宋体" w:cs="宋体"/>
                <w:bCs/>
                <w:sz w:val="21"/>
                <w:szCs w:val="21"/>
                <w:highlight w:val="none"/>
              </w:rPr>
              <w:t>计算评标价平均值时</w:t>
            </w:r>
            <w:r>
              <w:rPr>
                <w:rFonts w:hint="eastAsia" w:ascii="宋体" w:hAnsi="宋体" w:eastAsia="宋体" w:cs="宋体"/>
                <w:bCs/>
                <w:sz w:val="21"/>
                <w:szCs w:val="21"/>
                <w:highlight w:val="none"/>
              </w:rPr>
              <w:t>不去掉</w:t>
            </w:r>
            <w:r>
              <w:rPr>
                <w:rFonts w:hint="eastAsia" w:ascii="宋体" w:hAnsi="宋体" w:eastAsia="宋体" w:cs="宋体"/>
                <w:bCs/>
                <w:sz w:val="21"/>
                <w:szCs w:val="21"/>
                <w:highlight w:val="none"/>
              </w:rPr>
              <w:t>最高值和最低值），评标价平均值的计算保留整数，小数点后第1位“四舍五入”。</w:t>
            </w:r>
          </w:p>
          <w:p w14:paraId="33F45F6B">
            <w:pPr>
              <w:keepNext w:val="0"/>
              <w:keepLines w:val="0"/>
              <w:pageBreakBefore w:val="0"/>
              <w:widowControl w:val="0"/>
              <w:kinsoku/>
              <w:wordWrap/>
              <w:overflowPunct/>
              <w:topLinePunct w:val="0"/>
              <w:autoSpaceDE/>
              <w:autoSpaceDN/>
              <w:bidi w:val="0"/>
              <w:adjustRightInd/>
              <w:snapToGrid/>
              <w:spacing w:line="360" w:lineRule="exact"/>
              <w:ind w:left="113" w:leftChars="54" w:right="113"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（3）评标基准价的确定：</w:t>
            </w:r>
          </w:p>
          <w:p w14:paraId="794A935D">
            <w:pPr>
              <w:keepNext w:val="0"/>
              <w:keepLines w:val="0"/>
              <w:pageBreakBefore w:val="0"/>
              <w:widowControl w:val="0"/>
              <w:kinsoku/>
              <w:wordWrap/>
              <w:overflowPunct/>
              <w:topLinePunct w:val="0"/>
              <w:autoSpaceDE/>
              <w:autoSpaceDN/>
              <w:bidi w:val="0"/>
              <w:adjustRightInd/>
              <w:snapToGrid/>
              <w:spacing w:line="360" w:lineRule="exact"/>
              <w:ind w:left="113" w:leftChars="54" w:right="113"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将评标价平均值直接作为评标基准价。</w:t>
            </w:r>
          </w:p>
          <w:p w14:paraId="1D7CE689">
            <w:pPr>
              <w:keepNext w:val="0"/>
              <w:keepLines w:val="0"/>
              <w:pageBreakBefore w:val="0"/>
              <w:widowControl w:val="0"/>
              <w:kinsoku/>
              <w:wordWrap/>
              <w:overflowPunct/>
              <w:topLinePunct w:val="0"/>
              <w:autoSpaceDE/>
              <w:autoSpaceDN/>
              <w:bidi w:val="0"/>
              <w:adjustRightInd/>
              <w:snapToGrid/>
              <w:spacing w:line="360" w:lineRule="exact"/>
              <w:ind w:firstLine="455" w:firstLineChars="217"/>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在评标过程中，评标委员会应对计算的评标基准价进行复核，存在计算错误的应予以修正并在评标报告中作出说明。除此之外，评标基准价在整个评标期间保持不变，不随任何因素发生变化。</w:t>
            </w:r>
          </w:p>
        </w:tc>
      </w:tr>
      <w:tr w14:paraId="3FB7F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 w:type="dxa"/>
            <w:shd w:val="clear" w:color="auto" w:fill="auto"/>
            <w:vAlign w:val="center"/>
          </w:tcPr>
          <w:p w14:paraId="1639BD9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Style w:val="33"/>
                <w:rFonts w:hint="eastAsia" w:ascii="宋体" w:hAnsi="宋体" w:eastAsia="宋体" w:cs="宋体"/>
                <w:sz w:val="21"/>
                <w:szCs w:val="21"/>
                <w:highlight w:val="none"/>
                <w:lang w:eastAsia="zh-CN" w:bidi="ar-SA"/>
              </w:rPr>
              <w:t>2.2.3</w:t>
            </w:r>
          </w:p>
        </w:tc>
        <w:tc>
          <w:tcPr>
            <w:tcW w:w="1604" w:type="dxa"/>
            <w:shd w:val="clear" w:color="auto" w:fill="auto"/>
            <w:vAlign w:val="center"/>
          </w:tcPr>
          <w:p w14:paraId="037B8E0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评标价的偏差率计算公式</w:t>
            </w:r>
          </w:p>
        </w:tc>
        <w:tc>
          <w:tcPr>
            <w:tcW w:w="7076" w:type="dxa"/>
            <w:shd w:val="clear" w:color="auto" w:fill="auto"/>
          </w:tcPr>
          <w:p w14:paraId="3909A7C9">
            <w:pPr>
              <w:keepNext w:val="0"/>
              <w:keepLines w:val="0"/>
              <w:pageBreakBefore w:val="0"/>
              <w:widowControl w:val="0"/>
              <w:kinsoku/>
              <w:wordWrap/>
              <w:overflowPunct/>
              <w:topLinePunct w:val="0"/>
              <w:autoSpaceDE/>
              <w:autoSpaceDN/>
              <w:bidi w:val="0"/>
              <w:adjustRightInd/>
              <w:snapToGrid/>
              <w:spacing w:line="360" w:lineRule="exact"/>
              <w:ind w:left="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偏差率=100%</w:t>
            </w:r>
            <w:r>
              <w:rPr>
                <w:rFonts w:hint="eastAsia" w:ascii="宋体" w:hAnsi="宋体" w:eastAsia="宋体" w:cs="宋体"/>
                <w:sz w:val="21"/>
                <w:szCs w:val="21"/>
                <w:highlight w:val="none"/>
              </w:rPr>
              <w:t>×</w:t>
            </w:r>
            <w:r>
              <w:rPr>
                <w:rFonts w:hint="eastAsia" w:ascii="宋体" w:hAnsi="宋体" w:eastAsia="宋体" w:cs="宋体"/>
                <w:sz w:val="21"/>
                <w:szCs w:val="21"/>
                <w:highlight w:val="none"/>
              </w:rPr>
              <w:t>(投标人评标价</w:t>
            </w:r>
            <w:r>
              <w:rPr>
                <w:rFonts w:hint="eastAsia" w:ascii="宋体" w:hAnsi="宋体" w:eastAsia="宋体" w:cs="宋体"/>
                <w:sz w:val="21"/>
                <w:szCs w:val="21"/>
                <w:highlight w:val="none"/>
              </w:rPr>
              <w:t>-</w:t>
            </w:r>
            <w:r>
              <w:rPr>
                <w:rFonts w:hint="eastAsia" w:ascii="宋体" w:hAnsi="宋体" w:eastAsia="宋体" w:cs="宋体"/>
                <w:sz w:val="21"/>
                <w:szCs w:val="21"/>
                <w:highlight w:val="none"/>
              </w:rPr>
              <w:t>评标基准价）/评标基准价</w:t>
            </w:r>
          </w:p>
          <w:p w14:paraId="6E9459B3">
            <w:pPr>
              <w:keepNext w:val="0"/>
              <w:keepLines w:val="0"/>
              <w:pageBreakBefore w:val="0"/>
              <w:widowControl w:val="0"/>
              <w:kinsoku/>
              <w:wordWrap/>
              <w:overflowPunct/>
              <w:topLinePunct w:val="0"/>
              <w:autoSpaceDE/>
              <w:autoSpaceDN/>
              <w:bidi w:val="0"/>
              <w:adjustRightInd/>
              <w:snapToGrid/>
              <w:spacing w:line="360" w:lineRule="exact"/>
              <w:ind w:left="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偏差率保留</w:t>
            </w:r>
            <w:r>
              <w:rPr>
                <w:rFonts w:hint="eastAsia" w:ascii="宋体" w:hAnsi="宋体" w:eastAsia="宋体" w:cs="宋体"/>
                <w:sz w:val="21"/>
                <w:szCs w:val="21"/>
                <w:highlight w:val="none"/>
              </w:rPr>
              <w:t>2</w:t>
            </w:r>
            <w:r>
              <w:rPr>
                <w:rFonts w:hint="eastAsia" w:ascii="宋体" w:hAnsi="宋体" w:eastAsia="宋体" w:cs="宋体"/>
                <w:sz w:val="21"/>
                <w:szCs w:val="21"/>
                <w:highlight w:val="none"/>
              </w:rPr>
              <w:t>位小数</w:t>
            </w:r>
          </w:p>
        </w:tc>
      </w:tr>
    </w:tbl>
    <w:p w14:paraId="06374ECC">
      <w:pPr>
        <w:keepLines w:val="0"/>
        <w:kinsoku/>
        <w:wordWrap/>
        <w:overflowPunct/>
        <w:topLinePunct w:val="0"/>
        <w:bidi w:val="0"/>
        <w:spacing w:line="360" w:lineRule="exact"/>
        <w:jc w:val="right"/>
        <w:textAlignment w:val="auto"/>
        <w:rPr>
          <w:rFonts w:hint="eastAsia" w:ascii="宋体" w:hAnsi="宋体" w:eastAsia="宋体" w:cs="宋体"/>
          <w:sz w:val="21"/>
          <w:szCs w:val="21"/>
          <w:highlight w:val="none"/>
        </w:rPr>
      </w:pPr>
    </w:p>
    <w:p w14:paraId="11C84CF0">
      <w:pPr>
        <w:keepLines w:val="0"/>
        <w:kinsoku/>
        <w:wordWrap/>
        <w:overflowPunct/>
        <w:topLinePunct w:val="0"/>
        <w:bidi w:val="0"/>
        <w:spacing w:line="360" w:lineRule="exact"/>
        <w:jc w:val="center"/>
        <w:textAlignment w:val="auto"/>
        <w:rPr>
          <w:rFonts w:hint="eastAsia" w:ascii="宋体" w:hAnsi="宋体" w:eastAsia="宋体" w:cs="宋体"/>
          <w:b/>
          <w:bCs/>
          <w:sz w:val="21"/>
          <w:szCs w:val="21"/>
          <w:highlight w:val="none"/>
          <w:lang w:val="en-US"/>
        </w:rPr>
      </w:pPr>
      <w:r>
        <w:rPr>
          <w:rFonts w:hint="eastAsia" w:ascii="宋体" w:hAnsi="宋体" w:eastAsia="宋体" w:cs="宋体"/>
          <w:b/>
          <w:bCs/>
          <w:sz w:val="21"/>
          <w:szCs w:val="21"/>
          <w:highlight w:val="none"/>
          <w:lang w:val="en-US" w:eastAsia="zh-CN"/>
        </w:rPr>
        <w:t>施工监理标段详细评审</w:t>
      </w:r>
    </w:p>
    <w:tbl>
      <w:tblPr>
        <w:tblStyle w:val="11"/>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540"/>
        <w:gridCol w:w="555"/>
        <w:gridCol w:w="1140"/>
        <w:gridCol w:w="2010"/>
        <w:gridCol w:w="926"/>
        <w:gridCol w:w="3516"/>
      </w:tblGrid>
      <w:tr w14:paraId="04F19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090" w:type="dxa"/>
            <w:gridSpan w:val="6"/>
            <w:noWrap w:val="0"/>
            <w:vAlign w:val="center"/>
          </w:tcPr>
          <w:p w14:paraId="37DA2FE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评分因素与权重分值</w:t>
            </w:r>
            <w:r>
              <w:rPr>
                <w:rStyle w:val="13"/>
                <w:rFonts w:hint="eastAsia" w:ascii="宋体" w:hAnsi="宋体" w:eastAsia="宋体" w:cs="宋体"/>
                <w:sz w:val="21"/>
                <w:szCs w:val="21"/>
                <w:highlight w:val="none"/>
              </w:rPr>
              <w:footnoteReference w:id="4"/>
            </w:r>
          </w:p>
        </w:tc>
        <w:tc>
          <w:tcPr>
            <w:tcW w:w="3516" w:type="dxa"/>
            <w:vMerge w:val="restart"/>
            <w:noWrap w:val="0"/>
            <w:vAlign w:val="center"/>
          </w:tcPr>
          <w:p w14:paraId="581E0DC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评分标准</w:t>
            </w:r>
          </w:p>
        </w:tc>
      </w:tr>
      <w:tr w14:paraId="1655C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19" w:type="dxa"/>
            <w:noWrap w:val="0"/>
            <w:vAlign w:val="center"/>
          </w:tcPr>
          <w:p w14:paraId="03E96B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条款号</w:t>
            </w:r>
          </w:p>
        </w:tc>
        <w:tc>
          <w:tcPr>
            <w:tcW w:w="1095" w:type="dxa"/>
            <w:gridSpan w:val="2"/>
            <w:noWrap w:val="0"/>
            <w:vAlign w:val="center"/>
          </w:tcPr>
          <w:p w14:paraId="30D61A6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评分</w:t>
            </w:r>
          </w:p>
          <w:p w14:paraId="72AEE7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因素</w:t>
            </w:r>
          </w:p>
        </w:tc>
        <w:tc>
          <w:tcPr>
            <w:tcW w:w="1140" w:type="dxa"/>
            <w:noWrap w:val="0"/>
            <w:vAlign w:val="center"/>
          </w:tcPr>
          <w:p w14:paraId="5712E17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评分因素权重分值</w:t>
            </w:r>
          </w:p>
        </w:tc>
        <w:tc>
          <w:tcPr>
            <w:tcW w:w="2010" w:type="dxa"/>
            <w:noWrap w:val="0"/>
            <w:vAlign w:val="center"/>
          </w:tcPr>
          <w:p w14:paraId="299F8A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各评分因素细分项</w:t>
            </w:r>
          </w:p>
        </w:tc>
        <w:tc>
          <w:tcPr>
            <w:tcW w:w="926" w:type="dxa"/>
            <w:noWrap w:val="0"/>
            <w:vAlign w:val="center"/>
          </w:tcPr>
          <w:p w14:paraId="34D5DC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分值</w:t>
            </w:r>
          </w:p>
        </w:tc>
        <w:tc>
          <w:tcPr>
            <w:tcW w:w="3516" w:type="dxa"/>
            <w:vMerge w:val="continue"/>
            <w:noWrap w:val="0"/>
            <w:vAlign w:val="top"/>
          </w:tcPr>
          <w:p w14:paraId="2601130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sz w:val="21"/>
                <w:szCs w:val="21"/>
                <w:highlight w:val="none"/>
              </w:rPr>
            </w:pPr>
          </w:p>
        </w:tc>
      </w:tr>
      <w:tr w14:paraId="0E0B6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9" w:type="dxa"/>
            <w:vMerge w:val="restart"/>
            <w:noWrap w:val="0"/>
            <w:vAlign w:val="center"/>
          </w:tcPr>
          <w:p w14:paraId="376725F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2.2.4（1）</w:t>
            </w:r>
          </w:p>
        </w:tc>
        <w:tc>
          <w:tcPr>
            <w:tcW w:w="1095" w:type="dxa"/>
            <w:gridSpan w:val="2"/>
            <w:vMerge w:val="restart"/>
            <w:noWrap w:val="0"/>
            <w:vAlign w:val="center"/>
          </w:tcPr>
          <w:p w14:paraId="06C177B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技术</w:t>
            </w:r>
          </w:p>
          <w:p w14:paraId="6CDD275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建议书</w:t>
            </w:r>
          </w:p>
        </w:tc>
        <w:tc>
          <w:tcPr>
            <w:tcW w:w="1140" w:type="dxa"/>
            <w:vMerge w:val="restart"/>
            <w:noWrap w:val="0"/>
            <w:vAlign w:val="center"/>
          </w:tcPr>
          <w:p w14:paraId="36C423E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35</w:t>
            </w:r>
            <w:r>
              <w:rPr>
                <w:rFonts w:hint="eastAsia" w:ascii="宋体" w:hAnsi="宋体" w:eastAsia="宋体" w:cs="宋体"/>
                <w:sz w:val="21"/>
                <w:szCs w:val="21"/>
                <w:highlight w:val="none"/>
              </w:rPr>
              <w:t>分</w:t>
            </w:r>
          </w:p>
        </w:tc>
        <w:tc>
          <w:tcPr>
            <w:tcW w:w="2010" w:type="dxa"/>
            <w:vMerge w:val="restart"/>
            <w:noWrap w:val="0"/>
            <w:vAlign w:val="center"/>
          </w:tcPr>
          <w:p w14:paraId="5D14226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en-US"/>
              </w:rPr>
              <w:t>监理大纲（或监理方案）和措施</w:t>
            </w:r>
          </w:p>
        </w:tc>
        <w:tc>
          <w:tcPr>
            <w:tcW w:w="926" w:type="dxa"/>
            <w:vMerge w:val="restart"/>
            <w:noWrap w:val="0"/>
            <w:vAlign w:val="center"/>
          </w:tcPr>
          <w:p w14:paraId="29C2C08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20</w:t>
            </w:r>
            <w:r>
              <w:rPr>
                <w:rFonts w:hint="eastAsia" w:ascii="宋体" w:hAnsi="宋体" w:eastAsia="宋体" w:cs="宋体"/>
                <w:sz w:val="21"/>
                <w:szCs w:val="21"/>
                <w:highlight w:val="none"/>
              </w:rPr>
              <w:t>分</w:t>
            </w:r>
          </w:p>
        </w:tc>
        <w:tc>
          <w:tcPr>
            <w:tcW w:w="3516" w:type="dxa"/>
            <w:noWrap w:val="0"/>
            <w:vAlign w:val="center"/>
          </w:tcPr>
          <w:p w14:paraId="1757A8FA">
            <w:pPr>
              <w:keepNext w:val="0"/>
              <w:keepLines w:val="0"/>
              <w:pageBreakBefore w:val="0"/>
              <w:widowControl w:val="0"/>
              <w:kinsoku/>
              <w:wordWrap/>
              <w:overflowPunct/>
              <w:topLinePunct w:val="0"/>
              <w:bidi w:val="0"/>
              <w:adjustRightInd/>
              <w:snapToGrid/>
              <w:spacing w:line="360" w:lineRule="exact"/>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一般</w:t>
            </w:r>
            <w:r>
              <w:rPr>
                <w:rFonts w:hint="eastAsia" w:ascii="宋体" w:hAnsi="宋体" w:eastAsia="宋体" w:cs="宋体"/>
                <w:sz w:val="21"/>
                <w:szCs w:val="21"/>
                <w:highlight w:val="none"/>
              </w:rPr>
              <w:t>得</w:t>
            </w:r>
            <w:r>
              <w:rPr>
                <w:rFonts w:hint="eastAsia" w:ascii="宋体" w:hAnsi="宋体" w:eastAsia="宋体" w:cs="宋体"/>
                <w:sz w:val="21"/>
                <w:szCs w:val="21"/>
                <w:highlight w:val="none"/>
              </w:rPr>
              <w:t>12～15分</w:t>
            </w:r>
          </w:p>
        </w:tc>
      </w:tr>
      <w:tr w14:paraId="4D6B7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9" w:type="dxa"/>
            <w:vMerge w:val="continue"/>
            <w:noWrap w:val="0"/>
            <w:vAlign w:val="center"/>
          </w:tcPr>
          <w:p w14:paraId="7222679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1"/>
                <w:szCs w:val="21"/>
                <w:highlight w:val="none"/>
              </w:rPr>
            </w:pPr>
          </w:p>
        </w:tc>
        <w:tc>
          <w:tcPr>
            <w:tcW w:w="1095" w:type="dxa"/>
            <w:gridSpan w:val="2"/>
            <w:vMerge w:val="continue"/>
            <w:noWrap w:val="0"/>
            <w:vAlign w:val="center"/>
          </w:tcPr>
          <w:p w14:paraId="6D58F5D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1"/>
                <w:szCs w:val="21"/>
                <w:highlight w:val="none"/>
              </w:rPr>
            </w:pPr>
          </w:p>
        </w:tc>
        <w:tc>
          <w:tcPr>
            <w:tcW w:w="1140" w:type="dxa"/>
            <w:vMerge w:val="continue"/>
            <w:noWrap w:val="0"/>
            <w:vAlign w:val="center"/>
          </w:tcPr>
          <w:p w14:paraId="1AE4258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1"/>
                <w:szCs w:val="21"/>
                <w:highlight w:val="none"/>
                <w:u w:val="single"/>
              </w:rPr>
            </w:pPr>
          </w:p>
        </w:tc>
        <w:tc>
          <w:tcPr>
            <w:tcW w:w="2010" w:type="dxa"/>
            <w:vMerge w:val="continue"/>
            <w:noWrap w:val="0"/>
            <w:vAlign w:val="center"/>
          </w:tcPr>
          <w:p w14:paraId="6CE30108">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sz w:val="21"/>
                <w:szCs w:val="21"/>
                <w:highlight w:val="none"/>
                <w:lang w:bidi="en-US"/>
              </w:rPr>
            </w:pPr>
          </w:p>
        </w:tc>
        <w:tc>
          <w:tcPr>
            <w:tcW w:w="926" w:type="dxa"/>
            <w:vMerge w:val="continue"/>
            <w:noWrap w:val="0"/>
            <w:vAlign w:val="center"/>
          </w:tcPr>
          <w:p w14:paraId="1A4E80F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1"/>
                <w:szCs w:val="21"/>
                <w:highlight w:val="none"/>
                <w:u w:val="single"/>
              </w:rPr>
            </w:pPr>
          </w:p>
        </w:tc>
        <w:tc>
          <w:tcPr>
            <w:tcW w:w="3516" w:type="dxa"/>
            <w:noWrap w:val="0"/>
            <w:vAlign w:val="center"/>
          </w:tcPr>
          <w:p w14:paraId="08C28757">
            <w:pPr>
              <w:keepNext w:val="0"/>
              <w:keepLines w:val="0"/>
              <w:pageBreakBefore w:val="0"/>
              <w:widowControl w:val="0"/>
              <w:kinsoku/>
              <w:wordWrap/>
              <w:overflowPunct/>
              <w:topLinePunct w:val="0"/>
              <w:bidi w:val="0"/>
              <w:adjustRightInd/>
              <w:snapToGrid/>
              <w:spacing w:line="360" w:lineRule="exact"/>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满意得</w:t>
            </w:r>
            <w:r>
              <w:rPr>
                <w:rFonts w:hint="eastAsia" w:ascii="宋体" w:hAnsi="宋体" w:eastAsia="宋体" w:cs="宋体"/>
                <w:sz w:val="21"/>
                <w:szCs w:val="21"/>
                <w:highlight w:val="none"/>
              </w:rPr>
              <w:t>15～20分</w:t>
            </w:r>
          </w:p>
        </w:tc>
      </w:tr>
      <w:tr w14:paraId="6125D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9" w:type="dxa"/>
            <w:vMerge w:val="continue"/>
            <w:noWrap w:val="0"/>
            <w:vAlign w:val="center"/>
          </w:tcPr>
          <w:p w14:paraId="7424FD8F">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1"/>
                <w:szCs w:val="21"/>
                <w:highlight w:val="none"/>
              </w:rPr>
            </w:pPr>
          </w:p>
        </w:tc>
        <w:tc>
          <w:tcPr>
            <w:tcW w:w="1095" w:type="dxa"/>
            <w:gridSpan w:val="2"/>
            <w:vMerge w:val="continue"/>
            <w:noWrap w:val="0"/>
            <w:vAlign w:val="center"/>
          </w:tcPr>
          <w:p w14:paraId="4E7E8888">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1"/>
                <w:szCs w:val="21"/>
                <w:highlight w:val="none"/>
              </w:rPr>
            </w:pPr>
          </w:p>
        </w:tc>
        <w:tc>
          <w:tcPr>
            <w:tcW w:w="1140" w:type="dxa"/>
            <w:vMerge w:val="continue"/>
            <w:noWrap w:val="0"/>
            <w:vAlign w:val="center"/>
          </w:tcPr>
          <w:p w14:paraId="46ECDF5F">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1"/>
                <w:szCs w:val="21"/>
                <w:highlight w:val="none"/>
              </w:rPr>
            </w:pPr>
          </w:p>
        </w:tc>
        <w:tc>
          <w:tcPr>
            <w:tcW w:w="2010" w:type="dxa"/>
            <w:vMerge w:val="restart"/>
            <w:noWrap w:val="0"/>
            <w:vAlign w:val="center"/>
          </w:tcPr>
          <w:p w14:paraId="43F7C3BC">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en-US"/>
              </w:rPr>
              <w:t>本工程监理工作的重点与难点</w:t>
            </w:r>
            <w:r>
              <w:rPr>
                <w:rFonts w:hint="eastAsia" w:ascii="宋体" w:hAnsi="宋体" w:eastAsia="宋体" w:cs="宋体"/>
                <w:sz w:val="21"/>
                <w:szCs w:val="21"/>
                <w:highlight w:val="none"/>
                <w:lang w:bidi="en-US"/>
              </w:rPr>
              <w:t>分析</w:t>
            </w:r>
          </w:p>
        </w:tc>
        <w:tc>
          <w:tcPr>
            <w:tcW w:w="926" w:type="dxa"/>
            <w:vMerge w:val="restart"/>
            <w:noWrap w:val="0"/>
            <w:vAlign w:val="center"/>
          </w:tcPr>
          <w:p w14:paraId="7F552CD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10</w:t>
            </w:r>
            <w:r>
              <w:rPr>
                <w:rFonts w:hint="eastAsia" w:ascii="宋体" w:hAnsi="宋体" w:eastAsia="宋体" w:cs="宋体"/>
                <w:sz w:val="21"/>
                <w:szCs w:val="21"/>
                <w:highlight w:val="none"/>
              </w:rPr>
              <w:t>分</w:t>
            </w:r>
          </w:p>
        </w:tc>
        <w:tc>
          <w:tcPr>
            <w:tcW w:w="3516" w:type="dxa"/>
            <w:noWrap w:val="0"/>
            <w:vAlign w:val="center"/>
          </w:tcPr>
          <w:p w14:paraId="49B0EBEC">
            <w:pPr>
              <w:keepNext w:val="0"/>
              <w:keepLines w:val="0"/>
              <w:pageBreakBefore w:val="0"/>
              <w:widowControl w:val="0"/>
              <w:kinsoku/>
              <w:wordWrap/>
              <w:overflowPunct/>
              <w:topLinePunct w:val="0"/>
              <w:bidi w:val="0"/>
              <w:adjustRightInd/>
              <w:snapToGrid/>
              <w:spacing w:line="360" w:lineRule="exact"/>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一般</w:t>
            </w:r>
            <w:r>
              <w:rPr>
                <w:rFonts w:hint="eastAsia" w:ascii="宋体" w:hAnsi="宋体" w:eastAsia="宋体" w:cs="宋体"/>
                <w:sz w:val="21"/>
                <w:szCs w:val="21"/>
                <w:highlight w:val="none"/>
              </w:rPr>
              <w:t>得</w:t>
            </w:r>
            <w:r>
              <w:rPr>
                <w:rFonts w:hint="eastAsia" w:ascii="宋体" w:hAnsi="宋体" w:eastAsia="宋体" w:cs="宋体"/>
                <w:sz w:val="21"/>
                <w:szCs w:val="21"/>
                <w:highlight w:val="none"/>
              </w:rPr>
              <w:t>6～8分</w:t>
            </w:r>
          </w:p>
        </w:tc>
      </w:tr>
      <w:tr w14:paraId="30F9F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9" w:type="dxa"/>
            <w:vMerge w:val="continue"/>
            <w:noWrap w:val="0"/>
            <w:vAlign w:val="center"/>
          </w:tcPr>
          <w:p w14:paraId="5E30362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1"/>
                <w:szCs w:val="21"/>
                <w:highlight w:val="none"/>
              </w:rPr>
            </w:pPr>
          </w:p>
        </w:tc>
        <w:tc>
          <w:tcPr>
            <w:tcW w:w="1095" w:type="dxa"/>
            <w:gridSpan w:val="2"/>
            <w:vMerge w:val="continue"/>
            <w:noWrap w:val="0"/>
            <w:vAlign w:val="center"/>
          </w:tcPr>
          <w:p w14:paraId="33C3D74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1"/>
                <w:szCs w:val="21"/>
                <w:highlight w:val="none"/>
              </w:rPr>
            </w:pPr>
          </w:p>
        </w:tc>
        <w:tc>
          <w:tcPr>
            <w:tcW w:w="1140" w:type="dxa"/>
            <w:vMerge w:val="continue"/>
            <w:noWrap w:val="0"/>
            <w:vAlign w:val="center"/>
          </w:tcPr>
          <w:p w14:paraId="40A4C0D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1"/>
                <w:szCs w:val="21"/>
                <w:highlight w:val="none"/>
              </w:rPr>
            </w:pPr>
          </w:p>
        </w:tc>
        <w:tc>
          <w:tcPr>
            <w:tcW w:w="2010" w:type="dxa"/>
            <w:vMerge w:val="continue"/>
            <w:noWrap w:val="0"/>
            <w:vAlign w:val="center"/>
          </w:tcPr>
          <w:p w14:paraId="0E89B05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sz w:val="21"/>
                <w:szCs w:val="21"/>
                <w:highlight w:val="none"/>
                <w:lang w:bidi="en-US"/>
              </w:rPr>
            </w:pPr>
          </w:p>
        </w:tc>
        <w:tc>
          <w:tcPr>
            <w:tcW w:w="926" w:type="dxa"/>
            <w:vMerge w:val="continue"/>
            <w:noWrap w:val="0"/>
            <w:vAlign w:val="center"/>
          </w:tcPr>
          <w:p w14:paraId="16D694B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1"/>
                <w:szCs w:val="21"/>
                <w:highlight w:val="none"/>
                <w:u w:val="single"/>
              </w:rPr>
            </w:pPr>
          </w:p>
        </w:tc>
        <w:tc>
          <w:tcPr>
            <w:tcW w:w="3516" w:type="dxa"/>
            <w:noWrap w:val="0"/>
            <w:vAlign w:val="center"/>
          </w:tcPr>
          <w:p w14:paraId="4797B4E3">
            <w:pPr>
              <w:keepNext w:val="0"/>
              <w:keepLines w:val="0"/>
              <w:pageBreakBefore w:val="0"/>
              <w:widowControl w:val="0"/>
              <w:kinsoku/>
              <w:wordWrap/>
              <w:overflowPunct/>
              <w:topLinePunct w:val="0"/>
              <w:bidi w:val="0"/>
              <w:adjustRightInd/>
              <w:snapToGrid/>
              <w:spacing w:line="360" w:lineRule="exact"/>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满意得</w:t>
            </w:r>
            <w:r>
              <w:rPr>
                <w:rFonts w:hint="eastAsia" w:ascii="宋体" w:hAnsi="宋体" w:eastAsia="宋体" w:cs="宋体"/>
                <w:sz w:val="21"/>
                <w:szCs w:val="21"/>
                <w:highlight w:val="none"/>
              </w:rPr>
              <w:t>8～10分</w:t>
            </w:r>
          </w:p>
        </w:tc>
      </w:tr>
      <w:tr w14:paraId="2F331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9" w:type="dxa"/>
            <w:vMerge w:val="continue"/>
            <w:noWrap w:val="0"/>
            <w:vAlign w:val="center"/>
          </w:tcPr>
          <w:p w14:paraId="7B5F87CF">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1"/>
                <w:szCs w:val="21"/>
                <w:highlight w:val="none"/>
              </w:rPr>
            </w:pPr>
          </w:p>
        </w:tc>
        <w:tc>
          <w:tcPr>
            <w:tcW w:w="1095" w:type="dxa"/>
            <w:gridSpan w:val="2"/>
            <w:vMerge w:val="continue"/>
            <w:noWrap w:val="0"/>
            <w:vAlign w:val="center"/>
          </w:tcPr>
          <w:p w14:paraId="1308D15F">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1"/>
                <w:szCs w:val="21"/>
                <w:highlight w:val="none"/>
              </w:rPr>
            </w:pPr>
          </w:p>
        </w:tc>
        <w:tc>
          <w:tcPr>
            <w:tcW w:w="1140" w:type="dxa"/>
            <w:vMerge w:val="continue"/>
            <w:noWrap w:val="0"/>
            <w:vAlign w:val="center"/>
          </w:tcPr>
          <w:p w14:paraId="75A1ECE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1"/>
                <w:szCs w:val="21"/>
                <w:highlight w:val="none"/>
              </w:rPr>
            </w:pPr>
          </w:p>
        </w:tc>
        <w:tc>
          <w:tcPr>
            <w:tcW w:w="2010" w:type="dxa"/>
            <w:vMerge w:val="restart"/>
            <w:noWrap w:val="0"/>
            <w:vAlign w:val="center"/>
          </w:tcPr>
          <w:p w14:paraId="45A6B40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sz w:val="21"/>
                <w:szCs w:val="21"/>
                <w:highlight w:val="none"/>
                <w:lang w:bidi="en-US"/>
              </w:rPr>
            </w:pPr>
            <w:r>
              <w:rPr>
                <w:rFonts w:hint="eastAsia" w:ascii="宋体" w:hAnsi="宋体" w:eastAsia="宋体" w:cs="宋体"/>
                <w:sz w:val="21"/>
                <w:szCs w:val="21"/>
                <w:highlight w:val="none"/>
                <w:lang w:bidi="en-US"/>
              </w:rPr>
              <w:t>对本工程的建议</w:t>
            </w:r>
          </w:p>
        </w:tc>
        <w:tc>
          <w:tcPr>
            <w:tcW w:w="926" w:type="dxa"/>
            <w:vMerge w:val="restart"/>
            <w:noWrap w:val="0"/>
            <w:vAlign w:val="center"/>
          </w:tcPr>
          <w:p w14:paraId="1BD8417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 xml:space="preserve"> 5 </w:t>
            </w:r>
            <w:r>
              <w:rPr>
                <w:rFonts w:hint="eastAsia" w:ascii="宋体" w:hAnsi="宋体" w:eastAsia="宋体" w:cs="宋体"/>
                <w:sz w:val="21"/>
                <w:szCs w:val="21"/>
                <w:highlight w:val="none"/>
              </w:rPr>
              <w:t>分</w:t>
            </w:r>
          </w:p>
        </w:tc>
        <w:tc>
          <w:tcPr>
            <w:tcW w:w="3516" w:type="dxa"/>
            <w:noWrap w:val="0"/>
            <w:vAlign w:val="center"/>
          </w:tcPr>
          <w:p w14:paraId="317ACAAE">
            <w:pPr>
              <w:keepNext w:val="0"/>
              <w:keepLines w:val="0"/>
              <w:pageBreakBefore w:val="0"/>
              <w:widowControl w:val="0"/>
              <w:kinsoku/>
              <w:wordWrap/>
              <w:overflowPunct/>
              <w:topLinePunct w:val="0"/>
              <w:bidi w:val="0"/>
              <w:adjustRightInd/>
              <w:snapToGrid/>
              <w:spacing w:line="360" w:lineRule="exact"/>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一般</w:t>
            </w:r>
            <w:r>
              <w:rPr>
                <w:rFonts w:hint="eastAsia" w:ascii="宋体" w:hAnsi="宋体" w:eastAsia="宋体" w:cs="宋体"/>
                <w:sz w:val="21"/>
                <w:szCs w:val="21"/>
                <w:highlight w:val="none"/>
              </w:rPr>
              <w:t>得</w:t>
            </w:r>
            <w:r>
              <w:rPr>
                <w:rFonts w:hint="eastAsia" w:ascii="宋体" w:hAnsi="宋体" w:eastAsia="宋体" w:cs="宋体"/>
                <w:sz w:val="21"/>
                <w:szCs w:val="21"/>
                <w:highlight w:val="none"/>
              </w:rPr>
              <w:t>3～4分</w:t>
            </w:r>
          </w:p>
        </w:tc>
      </w:tr>
      <w:tr w14:paraId="16E12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9" w:type="dxa"/>
            <w:vMerge w:val="continue"/>
            <w:noWrap w:val="0"/>
            <w:vAlign w:val="center"/>
          </w:tcPr>
          <w:p w14:paraId="6D13544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1"/>
                <w:szCs w:val="21"/>
                <w:highlight w:val="none"/>
              </w:rPr>
            </w:pPr>
          </w:p>
        </w:tc>
        <w:tc>
          <w:tcPr>
            <w:tcW w:w="1095" w:type="dxa"/>
            <w:gridSpan w:val="2"/>
            <w:vMerge w:val="continue"/>
            <w:noWrap w:val="0"/>
            <w:vAlign w:val="center"/>
          </w:tcPr>
          <w:p w14:paraId="23E1D3AF">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1"/>
                <w:szCs w:val="21"/>
                <w:highlight w:val="none"/>
              </w:rPr>
            </w:pPr>
          </w:p>
        </w:tc>
        <w:tc>
          <w:tcPr>
            <w:tcW w:w="1140" w:type="dxa"/>
            <w:vMerge w:val="continue"/>
            <w:noWrap w:val="0"/>
            <w:vAlign w:val="center"/>
          </w:tcPr>
          <w:p w14:paraId="33FDB11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1"/>
                <w:szCs w:val="21"/>
                <w:highlight w:val="none"/>
              </w:rPr>
            </w:pPr>
          </w:p>
        </w:tc>
        <w:tc>
          <w:tcPr>
            <w:tcW w:w="2010" w:type="dxa"/>
            <w:vMerge w:val="continue"/>
            <w:noWrap w:val="0"/>
            <w:vAlign w:val="center"/>
          </w:tcPr>
          <w:p w14:paraId="4211EF6B">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sz w:val="21"/>
                <w:szCs w:val="21"/>
                <w:highlight w:val="none"/>
              </w:rPr>
            </w:pPr>
          </w:p>
        </w:tc>
        <w:tc>
          <w:tcPr>
            <w:tcW w:w="926" w:type="dxa"/>
            <w:vMerge w:val="continue"/>
            <w:noWrap w:val="0"/>
            <w:vAlign w:val="center"/>
          </w:tcPr>
          <w:p w14:paraId="3DE8C07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1"/>
                <w:szCs w:val="21"/>
                <w:highlight w:val="none"/>
              </w:rPr>
            </w:pPr>
          </w:p>
        </w:tc>
        <w:tc>
          <w:tcPr>
            <w:tcW w:w="3516" w:type="dxa"/>
            <w:noWrap w:val="0"/>
            <w:vAlign w:val="center"/>
          </w:tcPr>
          <w:p w14:paraId="3D543176">
            <w:pPr>
              <w:keepNext w:val="0"/>
              <w:keepLines w:val="0"/>
              <w:pageBreakBefore w:val="0"/>
              <w:widowControl w:val="0"/>
              <w:kinsoku/>
              <w:wordWrap/>
              <w:overflowPunct/>
              <w:topLinePunct w:val="0"/>
              <w:bidi w:val="0"/>
              <w:adjustRightInd/>
              <w:snapToGrid/>
              <w:spacing w:line="360" w:lineRule="exact"/>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满意得</w:t>
            </w:r>
            <w:r>
              <w:rPr>
                <w:rFonts w:hint="eastAsia" w:ascii="宋体" w:hAnsi="宋体" w:eastAsia="宋体" w:cs="宋体"/>
                <w:sz w:val="21"/>
                <w:szCs w:val="21"/>
                <w:highlight w:val="none"/>
              </w:rPr>
              <w:t>4～5分</w:t>
            </w:r>
          </w:p>
        </w:tc>
      </w:tr>
      <w:tr w14:paraId="42F37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9" w:type="dxa"/>
            <w:vMerge w:val="restart"/>
            <w:noWrap w:val="0"/>
            <w:vAlign w:val="center"/>
          </w:tcPr>
          <w:p w14:paraId="0DCEDED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2.2.4（2）</w:t>
            </w:r>
          </w:p>
        </w:tc>
        <w:tc>
          <w:tcPr>
            <w:tcW w:w="1095" w:type="dxa"/>
            <w:gridSpan w:val="2"/>
            <w:vMerge w:val="restart"/>
            <w:noWrap w:val="0"/>
            <w:vAlign w:val="center"/>
          </w:tcPr>
          <w:p w14:paraId="316973E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主要</w:t>
            </w:r>
          </w:p>
          <w:p w14:paraId="468DF18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人员</w:t>
            </w:r>
          </w:p>
        </w:tc>
        <w:tc>
          <w:tcPr>
            <w:tcW w:w="1140" w:type="dxa"/>
            <w:vMerge w:val="restart"/>
            <w:noWrap w:val="0"/>
            <w:vAlign w:val="center"/>
          </w:tcPr>
          <w:p w14:paraId="73502EE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25</w:t>
            </w:r>
            <w:r>
              <w:rPr>
                <w:rFonts w:hint="eastAsia" w:ascii="宋体" w:hAnsi="宋体" w:eastAsia="宋体" w:cs="宋体"/>
                <w:sz w:val="21"/>
                <w:szCs w:val="21"/>
                <w:highlight w:val="none"/>
              </w:rPr>
              <w:t>分</w:t>
            </w:r>
          </w:p>
        </w:tc>
        <w:tc>
          <w:tcPr>
            <w:tcW w:w="2010" w:type="dxa"/>
            <w:vMerge w:val="restart"/>
            <w:noWrap w:val="0"/>
            <w:vAlign w:val="center"/>
          </w:tcPr>
          <w:p w14:paraId="175A94E9">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bidi="en-US"/>
              </w:rPr>
              <w:t>总监理工程师任职资格与业绩</w:t>
            </w:r>
          </w:p>
        </w:tc>
        <w:tc>
          <w:tcPr>
            <w:tcW w:w="926" w:type="dxa"/>
            <w:noWrap w:val="0"/>
            <w:vAlign w:val="center"/>
          </w:tcPr>
          <w:p w14:paraId="45DB3AE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15</w:t>
            </w:r>
            <w:r>
              <w:rPr>
                <w:rFonts w:hint="eastAsia" w:ascii="宋体" w:hAnsi="宋体" w:eastAsia="宋体" w:cs="宋体"/>
                <w:sz w:val="21"/>
                <w:szCs w:val="21"/>
                <w:highlight w:val="none"/>
              </w:rPr>
              <w:t>分</w:t>
            </w:r>
          </w:p>
        </w:tc>
        <w:tc>
          <w:tcPr>
            <w:tcW w:w="3516" w:type="dxa"/>
            <w:noWrap w:val="0"/>
            <w:vAlign w:val="center"/>
          </w:tcPr>
          <w:p w14:paraId="08D95188">
            <w:pPr>
              <w:keepNext w:val="0"/>
              <w:keepLines w:val="0"/>
              <w:pageBreakBefore w:val="0"/>
              <w:widowControl w:val="0"/>
              <w:kinsoku/>
              <w:wordWrap/>
              <w:overflowPunct/>
              <w:topLinePunct w:val="0"/>
              <w:bidi w:val="0"/>
              <w:adjustRightInd/>
              <w:snapToGrid/>
              <w:spacing w:line="360" w:lineRule="exact"/>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满足资格审查</w:t>
            </w:r>
            <w:r>
              <w:rPr>
                <w:rFonts w:hint="eastAsia" w:ascii="宋体" w:hAnsi="宋体" w:eastAsia="宋体" w:cs="宋体"/>
                <w:sz w:val="21"/>
                <w:szCs w:val="21"/>
                <w:highlight w:val="none"/>
              </w:rPr>
              <w:t>最低要求得</w:t>
            </w:r>
            <w:r>
              <w:rPr>
                <w:rFonts w:hint="eastAsia" w:ascii="宋体" w:hAnsi="宋体" w:eastAsia="宋体" w:cs="宋体"/>
                <w:sz w:val="21"/>
                <w:szCs w:val="21"/>
                <w:highlight w:val="none"/>
              </w:rPr>
              <w:t>15分</w:t>
            </w:r>
          </w:p>
        </w:tc>
      </w:tr>
      <w:tr w14:paraId="14E2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9" w:type="dxa"/>
            <w:vMerge w:val="continue"/>
            <w:noWrap w:val="0"/>
            <w:vAlign w:val="center"/>
          </w:tcPr>
          <w:p w14:paraId="0503B9B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1"/>
                <w:szCs w:val="21"/>
                <w:highlight w:val="none"/>
              </w:rPr>
            </w:pPr>
          </w:p>
        </w:tc>
        <w:tc>
          <w:tcPr>
            <w:tcW w:w="1095" w:type="dxa"/>
            <w:gridSpan w:val="2"/>
            <w:vMerge w:val="continue"/>
            <w:noWrap w:val="0"/>
            <w:vAlign w:val="center"/>
          </w:tcPr>
          <w:p w14:paraId="42225AAF">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1"/>
                <w:szCs w:val="21"/>
                <w:highlight w:val="none"/>
              </w:rPr>
            </w:pPr>
          </w:p>
        </w:tc>
        <w:tc>
          <w:tcPr>
            <w:tcW w:w="1140" w:type="dxa"/>
            <w:vMerge w:val="continue"/>
            <w:noWrap w:val="0"/>
            <w:vAlign w:val="center"/>
          </w:tcPr>
          <w:p w14:paraId="3DD132C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1"/>
                <w:szCs w:val="21"/>
                <w:highlight w:val="none"/>
                <w:u w:val="single"/>
              </w:rPr>
            </w:pPr>
          </w:p>
        </w:tc>
        <w:tc>
          <w:tcPr>
            <w:tcW w:w="2010" w:type="dxa"/>
            <w:vMerge w:val="continue"/>
            <w:noWrap w:val="0"/>
            <w:vAlign w:val="top"/>
          </w:tcPr>
          <w:p w14:paraId="28660494">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sz w:val="21"/>
                <w:szCs w:val="21"/>
                <w:highlight w:val="none"/>
                <w:lang w:bidi="en-US"/>
              </w:rPr>
            </w:pPr>
          </w:p>
        </w:tc>
        <w:tc>
          <w:tcPr>
            <w:tcW w:w="926" w:type="dxa"/>
            <w:noWrap w:val="0"/>
            <w:vAlign w:val="center"/>
          </w:tcPr>
          <w:p w14:paraId="3C1253DF">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10</w:t>
            </w:r>
            <w:r>
              <w:rPr>
                <w:rFonts w:hint="eastAsia" w:ascii="宋体" w:hAnsi="宋体" w:eastAsia="宋体" w:cs="宋体"/>
                <w:sz w:val="21"/>
                <w:szCs w:val="21"/>
                <w:highlight w:val="none"/>
              </w:rPr>
              <w:t>分</w:t>
            </w:r>
          </w:p>
        </w:tc>
        <w:tc>
          <w:tcPr>
            <w:tcW w:w="3516" w:type="dxa"/>
            <w:noWrap w:val="0"/>
            <w:vAlign w:val="center"/>
          </w:tcPr>
          <w:p w14:paraId="65B2F1E3">
            <w:pPr>
              <w:keepNext w:val="0"/>
              <w:keepLines w:val="0"/>
              <w:pageBreakBefore w:val="0"/>
              <w:widowControl w:val="0"/>
              <w:kinsoku/>
              <w:wordWrap/>
              <w:overflowPunct/>
              <w:topLinePunct w:val="0"/>
              <w:bidi w:val="0"/>
              <w:adjustRightInd/>
              <w:snapToGrid/>
              <w:spacing w:line="360" w:lineRule="exact"/>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每提供</w:t>
            </w:r>
            <w:r>
              <w:rPr>
                <w:rFonts w:hint="eastAsia" w:ascii="宋体" w:hAnsi="宋体" w:eastAsia="宋体" w:cs="宋体"/>
                <w:sz w:val="21"/>
                <w:szCs w:val="21"/>
                <w:highlight w:val="none"/>
              </w:rPr>
              <w:t>1项</w:t>
            </w:r>
            <w:r>
              <w:rPr>
                <w:rFonts w:hint="eastAsia" w:ascii="宋体" w:hAnsi="宋体" w:eastAsia="宋体" w:cs="宋体"/>
                <w:sz w:val="21"/>
                <w:szCs w:val="21"/>
                <w:highlight w:val="none"/>
                <w:lang w:val="en-US" w:eastAsia="zh-CN"/>
              </w:rPr>
              <w:t>高速</w:t>
            </w:r>
            <w:r>
              <w:rPr>
                <w:rFonts w:hint="eastAsia" w:ascii="宋体" w:hAnsi="宋体" w:eastAsia="宋体" w:cs="宋体"/>
                <w:sz w:val="21"/>
                <w:szCs w:val="21"/>
                <w:highlight w:val="none"/>
              </w:rPr>
              <w:t>公路</w:t>
            </w:r>
            <w:r>
              <w:rPr>
                <w:rFonts w:hint="eastAsia" w:ascii="宋体" w:hAnsi="宋体" w:eastAsia="宋体" w:cs="宋体"/>
                <w:sz w:val="21"/>
                <w:szCs w:val="21"/>
                <w:highlight w:val="none"/>
                <w:lang w:val="en-US" w:eastAsia="zh-CN"/>
              </w:rPr>
              <w:t>或一级公路</w:t>
            </w:r>
            <w:r>
              <w:rPr>
                <w:rFonts w:hint="eastAsia" w:ascii="宋体" w:hAnsi="宋体" w:eastAsia="宋体" w:cs="宋体"/>
                <w:sz w:val="21"/>
                <w:szCs w:val="21"/>
                <w:highlight w:val="none"/>
                <w:lang w:val="en-US" w:eastAsia="zh-CN"/>
              </w:rPr>
              <w:t>沥青混凝土路面新、改扩建工程或养护工程</w:t>
            </w:r>
            <w:r>
              <w:rPr>
                <w:rFonts w:hint="eastAsia" w:ascii="宋体" w:hAnsi="宋体" w:eastAsia="宋体" w:cs="宋体"/>
                <w:sz w:val="21"/>
                <w:szCs w:val="21"/>
                <w:highlight w:val="none"/>
              </w:rPr>
              <w:t>的总监理工程师或驻地监理工程师或专业监理工程师任职经历加5分，最多加10分。</w:t>
            </w:r>
          </w:p>
        </w:tc>
      </w:tr>
      <w:tr w14:paraId="0B97C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noWrap w:val="0"/>
            <w:vAlign w:val="center"/>
          </w:tcPr>
          <w:p w14:paraId="6A7E750F">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2.2.4（3）</w:t>
            </w:r>
          </w:p>
        </w:tc>
        <w:tc>
          <w:tcPr>
            <w:tcW w:w="1095" w:type="dxa"/>
            <w:gridSpan w:val="2"/>
            <w:noWrap w:val="0"/>
            <w:vAlign w:val="center"/>
          </w:tcPr>
          <w:p w14:paraId="78A7DD1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评标价</w:t>
            </w:r>
          </w:p>
        </w:tc>
        <w:tc>
          <w:tcPr>
            <w:tcW w:w="1140" w:type="dxa"/>
            <w:noWrap w:val="0"/>
            <w:vAlign w:val="center"/>
          </w:tcPr>
          <w:p w14:paraId="46D9C6E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10</w:t>
            </w:r>
            <w:r>
              <w:rPr>
                <w:rFonts w:hint="eastAsia" w:ascii="宋体" w:hAnsi="宋体" w:eastAsia="宋体" w:cs="宋体"/>
                <w:sz w:val="21"/>
                <w:szCs w:val="21"/>
                <w:highlight w:val="none"/>
              </w:rPr>
              <w:t>分</w:t>
            </w:r>
          </w:p>
        </w:tc>
        <w:tc>
          <w:tcPr>
            <w:tcW w:w="6452" w:type="dxa"/>
            <w:gridSpan w:val="3"/>
            <w:noWrap w:val="0"/>
            <w:vAlign w:val="top"/>
          </w:tcPr>
          <w:p w14:paraId="10F90077">
            <w:pPr>
              <w:keepNext w:val="0"/>
              <w:keepLines w:val="0"/>
              <w:pageBreakBefore w:val="0"/>
              <w:widowControl w:val="0"/>
              <w:kinsoku/>
              <w:wordWrap/>
              <w:overflowPunct/>
              <w:topLinePunct w:val="0"/>
              <w:bidi w:val="0"/>
              <w:adjustRightInd/>
              <w:snapToGrid/>
              <w:spacing w:line="360" w:lineRule="exact"/>
              <w:ind w:right="11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评标价得分计算公式示例：</w:t>
            </w:r>
          </w:p>
          <w:p w14:paraId="73B8737B">
            <w:pPr>
              <w:keepNext w:val="0"/>
              <w:keepLines w:val="0"/>
              <w:pageBreakBefore w:val="0"/>
              <w:widowControl w:val="0"/>
              <w:kinsoku/>
              <w:wordWrap/>
              <w:overflowPunct/>
              <w:topLinePunct w:val="0"/>
              <w:bidi w:val="0"/>
              <w:adjustRightInd/>
              <w:snapToGrid/>
              <w:spacing w:line="360" w:lineRule="exact"/>
              <w:ind w:right="11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（1）如果投标人的评标价&gt;评标基准价，则评标价得分＝F－偏差率×100×E1；</w:t>
            </w:r>
          </w:p>
          <w:p w14:paraId="78C44546">
            <w:pPr>
              <w:keepNext w:val="0"/>
              <w:keepLines w:val="0"/>
              <w:pageBreakBefore w:val="0"/>
              <w:widowControl w:val="0"/>
              <w:kinsoku/>
              <w:wordWrap/>
              <w:overflowPunct/>
              <w:topLinePunct w:val="0"/>
              <w:bidi w:val="0"/>
              <w:adjustRightInd/>
              <w:snapToGrid/>
              <w:spacing w:line="360" w:lineRule="exact"/>
              <w:ind w:right="11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（2）如果投标人的评标价≤评标基准价，则评标价得分＝F＋偏差率×100×E2。</w:t>
            </w:r>
          </w:p>
          <w:p w14:paraId="36ABAC87">
            <w:pPr>
              <w:keepNext w:val="0"/>
              <w:keepLines w:val="0"/>
              <w:pageBreakBefore w:val="0"/>
              <w:widowControl w:val="0"/>
              <w:kinsoku/>
              <w:wordWrap/>
              <w:overflowPunct/>
              <w:topLinePunct w:val="0"/>
              <w:bidi w:val="0"/>
              <w:adjustRightInd/>
              <w:snapToGrid/>
              <w:spacing w:line="360" w:lineRule="exact"/>
              <w:ind w:right="11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式中：F=10，E1=0.2，E2=0.1。</w:t>
            </w:r>
          </w:p>
          <w:p w14:paraId="1E391BC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其中：F是评标价所占的权重分值，E1是评标价每高于评标基准价一个百分点的扣分值，E2是评标价每低于评标基准价一个百分点的扣分值。评标价得分保留两位小数，小数点后第三位“四舍五入”。</w:t>
            </w:r>
          </w:p>
        </w:tc>
      </w:tr>
      <w:tr w14:paraId="48F4F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19" w:type="dxa"/>
            <w:vMerge w:val="restart"/>
            <w:noWrap w:val="0"/>
            <w:vAlign w:val="center"/>
          </w:tcPr>
          <w:p w14:paraId="4C11D52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2.2.4（4）</w:t>
            </w:r>
          </w:p>
        </w:tc>
        <w:tc>
          <w:tcPr>
            <w:tcW w:w="540" w:type="dxa"/>
            <w:vMerge w:val="restart"/>
            <w:noWrap w:val="0"/>
            <w:vAlign w:val="center"/>
          </w:tcPr>
          <w:p w14:paraId="01B50E7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其他因素</w:t>
            </w:r>
          </w:p>
        </w:tc>
        <w:tc>
          <w:tcPr>
            <w:tcW w:w="555" w:type="dxa"/>
            <w:vMerge w:val="restart"/>
            <w:noWrap w:val="0"/>
            <w:vAlign w:val="center"/>
          </w:tcPr>
          <w:p w14:paraId="2FD3DC6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业绩</w:t>
            </w:r>
          </w:p>
        </w:tc>
        <w:tc>
          <w:tcPr>
            <w:tcW w:w="1140" w:type="dxa"/>
            <w:vMerge w:val="restart"/>
            <w:noWrap w:val="0"/>
            <w:vAlign w:val="center"/>
          </w:tcPr>
          <w:p w14:paraId="3A56684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20</w:t>
            </w:r>
            <w:r>
              <w:rPr>
                <w:rFonts w:hint="eastAsia" w:ascii="宋体" w:hAnsi="宋体" w:eastAsia="宋体" w:cs="宋体"/>
                <w:sz w:val="21"/>
                <w:szCs w:val="21"/>
                <w:highlight w:val="none"/>
              </w:rPr>
              <w:t>分</w:t>
            </w:r>
          </w:p>
        </w:tc>
        <w:tc>
          <w:tcPr>
            <w:tcW w:w="2010" w:type="dxa"/>
            <w:vMerge w:val="restart"/>
            <w:noWrap w:val="0"/>
            <w:vAlign w:val="center"/>
          </w:tcPr>
          <w:p w14:paraId="278B126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近年</w:t>
            </w:r>
            <w:r>
              <w:rPr>
                <w:rFonts w:hint="eastAsia" w:ascii="宋体" w:hAnsi="宋体" w:eastAsia="宋体" w:cs="宋体"/>
                <w:sz w:val="21"/>
                <w:szCs w:val="21"/>
                <w:highlight w:val="none"/>
              </w:rPr>
              <w:t>内监理过的项目</w:t>
            </w:r>
          </w:p>
        </w:tc>
        <w:tc>
          <w:tcPr>
            <w:tcW w:w="926" w:type="dxa"/>
            <w:noWrap w:val="0"/>
            <w:vAlign w:val="center"/>
          </w:tcPr>
          <w:p w14:paraId="29D564C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12</w:t>
            </w:r>
            <w:r>
              <w:rPr>
                <w:rFonts w:hint="eastAsia" w:ascii="宋体" w:hAnsi="宋体" w:eastAsia="宋体" w:cs="宋体"/>
                <w:sz w:val="21"/>
                <w:szCs w:val="21"/>
                <w:highlight w:val="none"/>
              </w:rPr>
              <w:t>分</w:t>
            </w:r>
          </w:p>
        </w:tc>
        <w:tc>
          <w:tcPr>
            <w:tcW w:w="3516" w:type="dxa"/>
            <w:noWrap w:val="0"/>
            <w:vAlign w:val="center"/>
          </w:tcPr>
          <w:p w14:paraId="007DD7EE">
            <w:pPr>
              <w:keepNext w:val="0"/>
              <w:keepLines w:val="0"/>
              <w:pageBreakBefore w:val="0"/>
              <w:widowControl w:val="0"/>
              <w:kinsoku/>
              <w:wordWrap/>
              <w:overflowPunct/>
              <w:topLinePunct w:val="0"/>
              <w:bidi w:val="0"/>
              <w:adjustRightInd/>
              <w:snapToGrid/>
              <w:spacing w:line="360" w:lineRule="exact"/>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投标人通过初步评审得12分。</w:t>
            </w:r>
          </w:p>
        </w:tc>
      </w:tr>
      <w:tr w14:paraId="1B7A5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vMerge w:val="continue"/>
            <w:noWrap w:val="0"/>
            <w:vAlign w:val="center"/>
          </w:tcPr>
          <w:p w14:paraId="12E3810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1"/>
                <w:szCs w:val="21"/>
                <w:highlight w:val="none"/>
              </w:rPr>
            </w:pPr>
          </w:p>
        </w:tc>
        <w:tc>
          <w:tcPr>
            <w:tcW w:w="540" w:type="dxa"/>
            <w:vMerge w:val="continue"/>
            <w:noWrap w:val="0"/>
            <w:vAlign w:val="center"/>
          </w:tcPr>
          <w:p w14:paraId="75E3AF6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1"/>
                <w:szCs w:val="21"/>
                <w:highlight w:val="none"/>
              </w:rPr>
            </w:pPr>
          </w:p>
        </w:tc>
        <w:tc>
          <w:tcPr>
            <w:tcW w:w="555" w:type="dxa"/>
            <w:vMerge w:val="continue"/>
            <w:noWrap w:val="0"/>
            <w:vAlign w:val="center"/>
          </w:tcPr>
          <w:p w14:paraId="5E1E768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1"/>
                <w:szCs w:val="21"/>
                <w:highlight w:val="none"/>
              </w:rPr>
            </w:pPr>
          </w:p>
        </w:tc>
        <w:tc>
          <w:tcPr>
            <w:tcW w:w="1140" w:type="dxa"/>
            <w:vMerge w:val="continue"/>
            <w:noWrap w:val="0"/>
            <w:vAlign w:val="center"/>
          </w:tcPr>
          <w:p w14:paraId="35596A5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1"/>
                <w:szCs w:val="21"/>
                <w:highlight w:val="none"/>
              </w:rPr>
            </w:pPr>
          </w:p>
        </w:tc>
        <w:tc>
          <w:tcPr>
            <w:tcW w:w="2010" w:type="dxa"/>
            <w:vMerge w:val="continue"/>
            <w:noWrap w:val="0"/>
            <w:vAlign w:val="top"/>
          </w:tcPr>
          <w:p w14:paraId="3CA8EAD8">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sz w:val="21"/>
                <w:szCs w:val="21"/>
                <w:highlight w:val="none"/>
              </w:rPr>
            </w:pPr>
          </w:p>
        </w:tc>
        <w:tc>
          <w:tcPr>
            <w:tcW w:w="926" w:type="dxa"/>
            <w:noWrap w:val="0"/>
            <w:vAlign w:val="center"/>
          </w:tcPr>
          <w:p w14:paraId="4CC042B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 xml:space="preserve"> 8</w:t>
            </w:r>
            <w:r>
              <w:rPr>
                <w:rFonts w:hint="eastAsia" w:ascii="宋体" w:hAnsi="宋体" w:eastAsia="宋体" w:cs="宋体"/>
                <w:sz w:val="21"/>
                <w:szCs w:val="21"/>
                <w:highlight w:val="none"/>
              </w:rPr>
              <w:t>分</w:t>
            </w:r>
          </w:p>
        </w:tc>
        <w:tc>
          <w:tcPr>
            <w:tcW w:w="3516" w:type="dxa"/>
            <w:noWrap w:val="0"/>
            <w:vAlign w:val="top"/>
          </w:tcPr>
          <w:p w14:paraId="09B8AF98">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202</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年1月1日以后累计完成过</w:t>
            </w:r>
            <w:r>
              <w:rPr>
                <w:rFonts w:hint="eastAsia" w:ascii="宋体" w:hAnsi="宋体" w:eastAsia="宋体" w:cs="宋体"/>
                <w:sz w:val="21"/>
                <w:szCs w:val="21"/>
                <w:highlight w:val="none"/>
                <w:lang w:val="en-US" w:eastAsia="zh-CN"/>
              </w:rPr>
              <w:t>25</w:t>
            </w:r>
            <w:r>
              <w:rPr>
                <w:rFonts w:hint="eastAsia" w:ascii="宋体" w:hAnsi="宋体" w:eastAsia="宋体" w:cs="宋体"/>
                <w:sz w:val="21"/>
                <w:szCs w:val="21"/>
                <w:highlight w:val="none"/>
              </w:rPr>
              <w:t>公里</w:t>
            </w:r>
            <w:r>
              <w:rPr>
                <w:rFonts w:hint="eastAsia" w:ascii="宋体" w:hAnsi="宋体" w:eastAsia="宋体" w:cs="宋体"/>
                <w:sz w:val="21"/>
                <w:szCs w:val="21"/>
                <w:highlight w:val="none"/>
                <w:lang w:val="en-US" w:eastAsia="zh-CN"/>
              </w:rPr>
              <w:t>高速</w:t>
            </w:r>
            <w:r>
              <w:rPr>
                <w:rFonts w:hint="eastAsia" w:ascii="宋体" w:hAnsi="宋体" w:eastAsia="宋体" w:cs="宋体"/>
                <w:sz w:val="21"/>
                <w:szCs w:val="21"/>
                <w:highlight w:val="none"/>
              </w:rPr>
              <w:t>公路</w:t>
            </w:r>
            <w:r>
              <w:rPr>
                <w:rFonts w:hint="eastAsia" w:ascii="宋体" w:hAnsi="宋体" w:eastAsia="宋体" w:cs="宋体"/>
                <w:sz w:val="21"/>
                <w:szCs w:val="21"/>
                <w:highlight w:val="none"/>
                <w:lang w:val="en-US" w:eastAsia="zh-CN"/>
              </w:rPr>
              <w:t>或一级公路</w:t>
            </w:r>
            <w:r>
              <w:rPr>
                <w:rFonts w:hint="eastAsia" w:ascii="宋体" w:hAnsi="宋体" w:eastAsia="宋体" w:cs="宋体"/>
                <w:sz w:val="21"/>
                <w:szCs w:val="21"/>
                <w:highlight w:val="none"/>
                <w:lang w:val="en-US" w:eastAsia="zh-CN"/>
              </w:rPr>
              <w:t>沥青混凝土路面新、改扩建工程或养护工程</w:t>
            </w:r>
            <w:r>
              <w:rPr>
                <w:rFonts w:hint="eastAsia" w:ascii="宋体" w:hAnsi="宋体" w:eastAsia="宋体" w:cs="宋体"/>
                <w:sz w:val="21"/>
                <w:szCs w:val="21"/>
                <w:highlight w:val="none"/>
              </w:rPr>
              <w:t>施工监理业绩加</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25公里得分按照0</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8分之间</w:t>
            </w:r>
            <w:r>
              <w:rPr>
                <w:rFonts w:hint="eastAsia" w:ascii="宋体" w:hAnsi="宋体" w:eastAsia="宋体" w:cs="宋体"/>
                <w:sz w:val="21"/>
                <w:szCs w:val="21"/>
                <w:highlight w:val="none"/>
              </w:rPr>
              <w:t>内插计算（保留两位小数）。</w:t>
            </w:r>
          </w:p>
          <w:p w14:paraId="4ECDB45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sz w:val="21"/>
                <w:szCs w:val="21"/>
                <w:highlight w:val="none"/>
              </w:rPr>
            </w:pPr>
            <w:r>
              <w:rPr>
                <w:rFonts w:hint="eastAsia" w:ascii="宋体" w:hAnsi="宋体" w:eastAsia="宋体" w:cs="宋体"/>
                <w:bCs/>
                <w:sz w:val="21"/>
                <w:szCs w:val="21"/>
                <w:highlight w:val="none"/>
                <w:lang w:val="en-US" w:eastAsia="zh-CN"/>
              </w:rPr>
              <w:t>注：</w:t>
            </w:r>
            <w:r>
              <w:rPr>
                <w:rFonts w:hint="eastAsia" w:ascii="宋体" w:hAnsi="宋体" w:eastAsia="宋体" w:cs="宋体"/>
                <w:color w:val="000000"/>
                <w:kern w:val="0"/>
                <w:sz w:val="21"/>
                <w:szCs w:val="21"/>
                <w:highlight w:val="none"/>
                <w:lang w:val="en-US" w:eastAsia="zh-CN" w:bidi="ar"/>
              </w:rPr>
              <w:t>两阶段验收工程以交工时间为准，一阶段验收工程以竣工时间为准。</w:t>
            </w:r>
          </w:p>
        </w:tc>
      </w:tr>
      <w:tr w14:paraId="0DE73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9" w:type="dxa"/>
            <w:vMerge w:val="continue"/>
            <w:noWrap w:val="0"/>
            <w:vAlign w:val="center"/>
          </w:tcPr>
          <w:p w14:paraId="47381F4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1"/>
                <w:szCs w:val="21"/>
                <w:highlight w:val="none"/>
              </w:rPr>
            </w:pPr>
          </w:p>
        </w:tc>
        <w:tc>
          <w:tcPr>
            <w:tcW w:w="540" w:type="dxa"/>
            <w:vMerge w:val="continue"/>
            <w:noWrap w:val="0"/>
            <w:vAlign w:val="center"/>
          </w:tcPr>
          <w:p w14:paraId="1055DE9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1"/>
                <w:szCs w:val="21"/>
                <w:highlight w:val="none"/>
              </w:rPr>
            </w:pPr>
          </w:p>
        </w:tc>
        <w:tc>
          <w:tcPr>
            <w:tcW w:w="555" w:type="dxa"/>
            <w:vMerge w:val="restart"/>
            <w:noWrap w:val="0"/>
            <w:vAlign w:val="center"/>
          </w:tcPr>
          <w:p w14:paraId="50D4B98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履约信誉</w:t>
            </w:r>
          </w:p>
        </w:tc>
        <w:tc>
          <w:tcPr>
            <w:tcW w:w="1140" w:type="dxa"/>
            <w:vMerge w:val="restart"/>
            <w:noWrap w:val="0"/>
            <w:vAlign w:val="center"/>
          </w:tcPr>
          <w:p w14:paraId="3AE7EFCF">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10</w:t>
            </w:r>
            <w:r>
              <w:rPr>
                <w:rFonts w:hint="eastAsia" w:ascii="宋体" w:hAnsi="宋体" w:eastAsia="宋体" w:cs="宋体"/>
                <w:sz w:val="21"/>
                <w:szCs w:val="21"/>
                <w:highlight w:val="none"/>
              </w:rPr>
              <w:t>分</w:t>
            </w:r>
          </w:p>
        </w:tc>
        <w:tc>
          <w:tcPr>
            <w:tcW w:w="2010" w:type="dxa"/>
            <w:vMerge w:val="restart"/>
            <w:noWrap w:val="0"/>
            <w:vAlign w:val="center"/>
          </w:tcPr>
          <w:p w14:paraId="4286082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信用评价</w:t>
            </w:r>
          </w:p>
        </w:tc>
        <w:tc>
          <w:tcPr>
            <w:tcW w:w="926" w:type="dxa"/>
            <w:noWrap w:val="0"/>
            <w:vAlign w:val="center"/>
          </w:tcPr>
          <w:p w14:paraId="7B1FB4CA">
            <w:pPr>
              <w:keepNext w:val="0"/>
              <w:keepLines w:val="0"/>
              <w:pageBreakBefore w:val="0"/>
              <w:widowControl w:val="0"/>
              <w:kinsoku/>
              <w:wordWrap/>
              <w:overflowPunct/>
              <w:topLinePunct w:val="0"/>
              <w:bidi w:val="0"/>
              <w:adjustRightInd/>
              <w:snapToGrid/>
              <w:spacing w:line="360" w:lineRule="exact"/>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10</w:t>
            </w:r>
            <w:r>
              <w:rPr>
                <w:rFonts w:hint="eastAsia" w:ascii="宋体" w:hAnsi="宋体" w:eastAsia="宋体" w:cs="宋体"/>
                <w:sz w:val="21"/>
                <w:szCs w:val="21"/>
                <w:highlight w:val="none"/>
              </w:rPr>
              <w:t>分</w:t>
            </w:r>
          </w:p>
        </w:tc>
        <w:tc>
          <w:tcPr>
            <w:tcW w:w="3516" w:type="dxa"/>
            <w:noWrap w:val="0"/>
            <w:vAlign w:val="center"/>
          </w:tcPr>
          <w:p w14:paraId="59850B1D">
            <w:pPr>
              <w:keepNext w:val="0"/>
              <w:keepLines w:val="0"/>
              <w:pageBreakBefore w:val="0"/>
              <w:widowControl w:val="0"/>
              <w:kinsoku/>
              <w:wordWrap/>
              <w:overflowPunct/>
              <w:topLinePunct w:val="0"/>
              <w:bidi w:val="0"/>
              <w:adjustRightInd/>
              <w:snapToGrid/>
              <w:spacing w:line="360" w:lineRule="exact"/>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信用</w:t>
            </w:r>
            <w:r>
              <w:rPr>
                <w:rFonts w:hint="eastAsia" w:ascii="宋体" w:hAnsi="宋体" w:eastAsia="宋体" w:cs="宋体"/>
                <w:sz w:val="21"/>
                <w:szCs w:val="21"/>
                <w:highlight w:val="none"/>
              </w:rPr>
              <w:t>等级</w:t>
            </w:r>
            <w:r>
              <w:rPr>
                <w:rFonts w:hint="eastAsia" w:ascii="宋体" w:hAnsi="宋体" w:eastAsia="宋体" w:cs="宋体"/>
                <w:sz w:val="21"/>
                <w:szCs w:val="21"/>
                <w:highlight w:val="none"/>
              </w:rPr>
              <w:t>AA</w:t>
            </w:r>
          </w:p>
        </w:tc>
      </w:tr>
      <w:tr w14:paraId="1E602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9" w:type="dxa"/>
            <w:vMerge w:val="continue"/>
            <w:noWrap w:val="0"/>
            <w:vAlign w:val="center"/>
          </w:tcPr>
          <w:p w14:paraId="1349257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1"/>
                <w:szCs w:val="21"/>
                <w:highlight w:val="none"/>
              </w:rPr>
            </w:pPr>
          </w:p>
        </w:tc>
        <w:tc>
          <w:tcPr>
            <w:tcW w:w="540" w:type="dxa"/>
            <w:vMerge w:val="continue"/>
            <w:noWrap w:val="0"/>
            <w:vAlign w:val="center"/>
          </w:tcPr>
          <w:p w14:paraId="4679DB8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1"/>
                <w:szCs w:val="21"/>
                <w:highlight w:val="none"/>
              </w:rPr>
            </w:pPr>
          </w:p>
        </w:tc>
        <w:tc>
          <w:tcPr>
            <w:tcW w:w="555" w:type="dxa"/>
            <w:vMerge w:val="continue"/>
            <w:noWrap w:val="0"/>
            <w:vAlign w:val="center"/>
          </w:tcPr>
          <w:p w14:paraId="517536A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1"/>
                <w:szCs w:val="21"/>
                <w:highlight w:val="none"/>
              </w:rPr>
            </w:pPr>
          </w:p>
        </w:tc>
        <w:tc>
          <w:tcPr>
            <w:tcW w:w="1140" w:type="dxa"/>
            <w:vMerge w:val="continue"/>
            <w:noWrap w:val="0"/>
            <w:vAlign w:val="center"/>
          </w:tcPr>
          <w:p w14:paraId="6145263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1"/>
                <w:szCs w:val="21"/>
                <w:highlight w:val="none"/>
                <w:u w:val="single"/>
              </w:rPr>
            </w:pPr>
          </w:p>
        </w:tc>
        <w:tc>
          <w:tcPr>
            <w:tcW w:w="2010" w:type="dxa"/>
            <w:vMerge w:val="continue"/>
            <w:noWrap w:val="0"/>
            <w:vAlign w:val="center"/>
          </w:tcPr>
          <w:p w14:paraId="7EE2A24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1"/>
                <w:szCs w:val="21"/>
                <w:highlight w:val="none"/>
              </w:rPr>
            </w:pPr>
          </w:p>
        </w:tc>
        <w:tc>
          <w:tcPr>
            <w:tcW w:w="926" w:type="dxa"/>
            <w:noWrap w:val="0"/>
            <w:vAlign w:val="center"/>
          </w:tcPr>
          <w:p w14:paraId="0FBACB5D">
            <w:pPr>
              <w:keepNext w:val="0"/>
              <w:keepLines w:val="0"/>
              <w:pageBreakBefore w:val="0"/>
              <w:widowControl w:val="0"/>
              <w:kinsoku/>
              <w:wordWrap/>
              <w:overflowPunct/>
              <w:topLinePunct w:val="0"/>
              <w:bidi w:val="0"/>
              <w:adjustRightInd/>
              <w:snapToGrid/>
              <w:spacing w:line="360" w:lineRule="exact"/>
              <w:jc w:val="both"/>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8</w:t>
            </w:r>
            <w:r>
              <w:rPr>
                <w:rFonts w:hint="eastAsia" w:ascii="宋体" w:hAnsi="宋体" w:eastAsia="宋体" w:cs="宋体"/>
                <w:sz w:val="21"/>
                <w:szCs w:val="21"/>
                <w:highlight w:val="none"/>
              </w:rPr>
              <w:t>分</w:t>
            </w:r>
          </w:p>
        </w:tc>
        <w:tc>
          <w:tcPr>
            <w:tcW w:w="3516" w:type="dxa"/>
            <w:noWrap w:val="0"/>
            <w:vAlign w:val="center"/>
          </w:tcPr>
          <w:p w14:paraId="4675A5A8">
            <w:pPr>
              <w:keepNext w:val="0"/>
              <w:keepLines w:val="0"/>
              <w:pageBreakBefore w:val="0"/>
              <w:widowControl w:val="0"/>
              <w:kinsoku/>
              <w:wordWrap/>
              <w:overflowPunct/>
              <w:topLinePunct w:val="0"/>
              <w:bidi w:val="0"/>
              <w:adjustRightInd/>
              <w:snapToGrid/>
              <w:spacing w:line="360" w:lineRule="exact"/>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信用</w:t>
            </w:r>
            <w:r>
              <w:rPr>
                <w:rFonts w:hint="eastAsia" w:ascii="宋体" w:hAnsi="宋体" w:eastAsia="宋体" w:cs="宋体"/>
                <w:sz w:val="21"/>
                <w:szCs w:val="21"/>
                <w:highlight w:val="none"/>
              </w:rPr>
              <w:t>等级</w:t>
            </w:r>
            <w:r>
              <w:rPr>
                <w:rFonts w:hint="eastAsia" w:ascii="宋体" w:hAnsi="宋体" w:eastAsia="宋体" w:cs="宋体"/>
                <w:sz w:val="21"/>
                <w:szCs w:val="21"/>
                <w:highlight w:val="none"/>
              </w:rPr>
              <w:t>A</w:t>
            </w:r>
          </w:p>
        </w:tc>
      </w:tr>
      <w:tr w14:paraId="36DCE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9" w:type="dxa"/>
            <w:vMerge w:val="continue"/>
            <w:noWrap w:val="0"/>
            <w:vAlign w:val="center"/>
          </w:tcPr>
          <w:p w14:paraId="6CD899F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1"/>
                <w:szCs w:val="21"/>
                <w:highlight w:val="none"/>
              </w:rPr>
            </w:pPr>
          </w:p>
        </w:tc>
        <w:tc>
          <w:tcPr>
            <w:tcW w:w="540" w:type="dxa"/>
            <w:vMerge w:val="continue"/>
            <w:noWrap w:val="0"/>
            <w:vAlign w:val="center"/>
          </w:tcPr>
          <w:p w14:paraId="5A44689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1"/>
                <w:szCs w:val="21"/>
                <w:highlight w:val="none"/>
              </w:rPr>
            </w:pPr>
          </w:p>
        </w:tc>
        <w:tc>
          <w:tcPr>
            <w:tcW w:w="555" w:type="dxa"/>
            <w:vMerge w:val="continue"/>
            <w:noWrap w:val="0"/>
            <w:vAlign w:val="center"/>
          </w:tcPr>
          <w:p w14:paraId="022FB62F">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1"/>
                <w:szCs w:val="21"/>
                <w:highlight w:val="none"/>
              </w:rPr>
            </w:pPr>
          </w:p>
        </w:tc>
        <w:tc>
          <w:tcPr>
            <w:tcW w:w="1140" w:type="dxa"/>
            <w:vMerge w:val="continue"/>
            <w:noWrap w:val="0"/>
            <w:vAlign w:val="center"/>
          </w:tcPr>
          <w:p w14:paraId="197F849F">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1"/>
                <w:szCs w:val="21"/>
                <w:highlight w:val="none"/>
                <w:u w:val="single"/>
              </w:rPr>
            </w:pPr>
          </w:p>
        </w:tc>
        <w:tc>
          <w:tcPr>
            <w:tcW w:w="2010" w:type="dxa"/>
            <w:vMerge w:val="continue"/>
            <w:noWrap w:val="0"/>
            <w:vAlign w:val="center"/>
          </w:tcPr>
          <w:p w14:paraId="41203D0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1"/>
                <w:szCs w:val="21"/>
                <w:highlight w:val="none"/>
              </w:rPr>
            </w:pPr>
          </w:p>
        </w:tc>
        <w:tc>
          <w:tcPr>
            <w:tcW w:w="926" w:type="dxa"/>
            <w:noWrap w:val="0"/>
            <w:vAlign w:val="center"/>
          </w:tcPr>
          <w:p w14:paraId="03F911AC">
            <w:pPr>
              <w:keepNext w:val="0"/>
              <w:keepLines w:val="0"/>
              <w:pageBreakBefore w:val="0"/>
              <w:widowControl w:val="0"/>
              <w:kinsoku/>
              <w:wordWrap/>
              <w:overflowPunct/>
              <w:topLinePunct w:val="0"/>
              <w:bidi w:val="0"/>
              <w:adjustRightInd/>
              <w:snapToGrid/>
              <w:spacing w:line="360" w:lineRule="exact"/>
              <w:jc w:val="both"/>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6</w:t>
            </w:r>
            <w:r>
              <w:rPr>
                <w:rFonts w:hint="eastAsia" w:ascii="宋体" w:hAnsi="宋体" w:eastAsia="宋体" w:cs="宋体"/>
                <w:sz w:val="21"/>
                <w:szCs w:val="21"/>
                <w:highlight w:val="none"/>
              </w:rPr>
              <w:t>分</w:t>
            </w:r>
          </w:p>
        </w:tc>
        <w:tc>
          <w:tcPr>
            <w:tcW w:w="3516" w:type="dxa"/>
            <w:noWrap w:val="0"/>
            <w:vAlign w:val="center"/>
          </w:tcPr>
          <w:p w14:paraId="0166C44A">
            <w:pPr>
              <w:keepNext w:val="0"/>
              <w:keepLines w:val="0"/>
              <w:pageBreakBefore w:val="0"/>
              <w:widowControl w:val="0"/>
              <w:kinsoku/>
              <w:wordWrap/>
              <w:overflowPunct/>
              <w:topLinePunct w:val="0"/>
              <w:bidi w:val="0"/>
              <w:adjustRightInd/>
              <w:snapToGrid/>
              <w:spacing w:line="360" w:lineRule="exact"/>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信用</w:t>
            </w:r>
            <w:r>
              <w:rPr>
                <w:rFonts w:hint="eastAsia" w:ascii="宋体" w:hAnsi="宋体" w:eastAsia="宋体" w:cs="宋体"/>
                <w:sz w:val="21"/>
                <w:szCs w:val="21"/>
                <w:highlight w:val="none"/>
              </w:rPr>
              <w:t>等级</w:t>
            </w:r>
            <w:r>
              <w:rPr>
                <w:rFonts w:hint="eastAsia" w:ascii="宋体" w:hAnsi="宋体" w:eastAsia="宋体" w:cs="宋体"/>
                <w:sz w:val="21"/>
                <w:szCs w:val="21"/>
                <w:highlight w:val="none"/>
              </w:rPr>
              <w:t>B</w:t>
            </w:r>
          </w:p>
        </w:tc>
      </w:tr>
      <w:tr w14:paraId="469EA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9" w:type="dxa"/>
            <w:vMerge w:val="continue"/>
            <w:noWrap w:val="0"/>
            <w:vAlign w:val="center"/>
          </w:tcPr>
          <w:p w14:paraId="1BC1351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1"/>
                <w:szCs w:val="21"/>
                <w:highlight w:val="none"/>
              </w:rPr>
            </w:pPr>
          </w:p>
        </w:tc>
        <w:tc>
          <w:tcPr>
            <w:tcW w:w="540" w:type="dxa"/>
            <w:vMerge w:val="continue"/>
            <w:noWrap w:val="0"/>
            <w:vAlign w:val="center"/>
          </w:tcPr>
          <w:p w14:paraId="45D7607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1"/>
                <w:szCs w:val="21"/>
                <w:highlight w:val="none"/>
              </w:rPr>
            </w:pPr>
          </w:p>
        </w:tc>
        <w:tc>
          <w:tcPr>
            <w:tcW w:w="555" w:type="dxa"/>
            <w:vMerge w:val="continue"/>
            <w:noWrap w:val="0"/>
            <w:vAlign w:val="center"/>
          </w:tcPr>
          <w:p w14:paraId="01900CD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1"/>
                <w:szCs w:val="21"/>
                <w:highlight w:val="none"/>
              </w:rPr>
            </w:pPr>
          </w:p>
        </w:tc>
        <w:tc>
          <w:tcPr>
            <w:tcW w:w="1140" w:type="dxa"/>
            <w:vMerge w:val="continue"/>
            <w:noWrap w:val="0"/>
            <w:vAlign w:val="center"/>
          </w:tcPr>
          <w:p w14:paraId="5FB700E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1"/>
                <w:szCs w:val="21"/>
                <w:highlight w:val="none"/>
                <w:u w:val="single"/>
              </w:rPr>
            </w:pPr>
          </w:p>
        </w:tc>
        <w:tc>
          <w:tcPr>
            <w:tcW w:w="2010" w:type="dxa"/>
            <w:vMerge w:val="continue"/>
            <w:noWrap w:val="0"/>
            <w:vAlign w:val="center"/>
          </w:tcPr>
          <w:p w14:paraId="3E15056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1"/>
                <w:szCs w:val="21"/>
                <w:highlight w:val="none"/>
              </w:rPr>
            </w:pPr>
          </w:p>
        </w:tc>
        <w:tc>
          <w:tcPr>
            <w:tcW w:w="926" w:type="dxa"/>
            <w:noWrap w:val="0"/>
            <w:vAlign w:val="center"/>
          </w:tcPr>
          <w:p w14:paraId="0C71B6F0">
            <w:pPr>
              <w:keepNext w:val="0"/>
              <w:keepLines w:val="0"/>
              <w:pageBreakBefore w:val="0"/>
              <w:widowControl w:val="0"/>
              <w:kinsoku/>
              <w:wordWrap/>
              <w:overflowPunct/>
              <w:topLinePunct w:val="0"/>
              <w:bidi w:val="0"/>
              <w:adjustRightInd/>
              <w:snapToGrid/>
              <w:spacing w:line="360" w:lineRule="exact"/>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4</w:t>
            </w:r>
            <w:r>
              <w:rPr>
                <w:rFonts w:hint="eastAsia" w:ascii="宋体" w:hAnsi="宋体" w:eastAsia="宋体" w:cs="宋体"/>
                <w:sz w:val="21"/>
                <w:szCs w:val="21"/>
                <w:highlight w:val="none"/>
              </w:rPr>
              <w:t>分</w:t>
            </w:r>
          </w:p>
        </w:tc>
        <w:tc>
          <w:tcPr>
            <w:tcW w:w="3516" w:type="dxa"/>
            <w:noWrap w:val="0"/>
            <w:vAlign w:val="center"/>
          </w:tcPr>
          <w:p w14:paraId="49C582F6">
            <w:pPr>
              <w:keepNext w:val="0"/>
              <w:keepLines w:val="0"/>
              <w:pageBreakBefore w:val="0"/>
              <w:widowControl w:val="0"/>
              <w:kinsoku/>
              <w:wordWrap/>
              <w:overflowPunct/>
              <w:topLinePunct w:val="0"/>
              <w:bidi w:val="0"/>
              <w:adjustRightInd/>
              <w:snapToGrid/>
              <w:spacing w:line="360" w:lineRule="exact"/>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信用</w:t>
            </w:r>
            <w:r>
              <w:rPr>
                <w:rFonts w:hint="eastAsia" w:ascii="宋体" w:hAnsi="宋体" w:eastAsia="宋体" w:cs="宋体"/>
                <w:sz w:val="21"/>
                <w:szCs w:val="21"/>
                <w:highlight w:val="none"/>
              </w:rPr>
              <w:t>等级</w:t>
            </w:r>
            <w:r>
              <w:rPr>
                <w:rFonts w:hint="eastAsia" w:ascii="宋体" w:hAnsi="宋体" w:eastAsia="宋体" w:cs="宋体"/>
                <w:sz w:val="21"/>
                <w:szCs w:val="21"/>
                <w:highlight w:val="none"/>
              </w:rPr>
              <w:t>C</w:t>
            </w:r>
          </w:p>
        </w:tc>
      </w:tr>
      <w:tr w14:paraId="6D09E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9" w:type="dxa"/>
            <w:vMerge w:val="continue"/>
            <w:noWrap w:val="0"/>
            <w:vAlign w:val="center"/>
          </w:tcPr>
          <w:p w14:paraId="6C576DF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1"/>
                <w:szCs w:val="21"/>
                <w:highlight w:val="none"/>
              </w:rPr>
            </w:pPr>
          </w:p>
        </w:tc>
        <w:tc>
          <w:tcPr>
            <w:tcW w:w="540" w:type="dxa"/>
            <w:vMerge w:val="continue"/>
            <w:noWrap w:val="0"/>
            <w:vAlign w:val="center"/>
          </w:tcPr>
          <w:p w14:paraId="5DD3F0A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1"/>
                <w:szCs w:val="21"/>
                <w:highlight w:val="none"/>
              </w:rPr>
            </w:pPr>
          </w:p>
        </w:tc>
        <w:tc>
          <w:tcPr>
            <w:tcW w:w="555" w:type="dxa"/>
            <w:vMerge w:val="continue"/>
            <w:noWrap w:val="0"/>
            <w:vAlign w:val="center"/>
          </w:tcPr>
          <w:p w14:paraId="0903F37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1"/>
                <w:szCs w:val="21"/>
                <w:highlight w:val="none"/>
              </w:rPr>
            </w:pPr>
          </w:p>
        </w:tc>
        <w:tc>
          <w:tcPr>
            <w:tcW w:w="1140" w:type="dxa"/>
            <w:vMerge w:val="continue"/>
            <w:noWrap w:val="0"/>
            <w:vAlign w:val="center"/>
          </w:tcPr>
          <w:p w14:paraId="03647D4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1"/>
                <w:szCs w:val="21"/>
                <w:highlight w:val="none"/>
              </w:rPr>
            </w:pPr>
          </w:p>
        </w:tc>
        <w:tc>
          <w:tcPr>
            <w:tcW w:w="2010" w:type="dxa"/>
            <w:vMerge w:val="continue"/>
            <w:noWrap w:val="0"/>
            <w:vAlign w:val="center"/>
          </w:tcPr>
          <w:p w14:paraId="48D9D61F">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1"/>
                <w:szCs w:val="21"/>
                <w:highlight w:val="none"/>
              </w:rPr>
            </w:pPr>
          </w:p>
        </w:tc>
        <w:tc>
          <w:tcPr>
            <w:tcW w:w="926" w:type="dxa"/>
            <w:noWrap w:val="0"/>
            <w:vAlign w:val="center"/>
          </w:tcPr>
          <w:p w14:paraId="4167E56C">
            <w:pPr>
              <w:keepNext w:val="0"/>
              <w:keepLines w:val="0"/>
              <w:pageBreakBefore w:val="0"/>
              <w:widowControl w:val="0"/>
              <w:kinsoku/>
              <w:wordWrap/>
              <w:overflowPunct/>
              <w:topLinePunct w:val="0"/>
              <w:bidi w:val="0"/>
              <w:adjustRightInd/>
              <w:snapToGrid/>
              <w:spacing w:line="360" w:lineRule="exact"/>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0</w:t>
            </w:r>
            <w:r>
              <w:rPr>
                <w:rFonts w:hint="eastAsia" w:ascii="宋体" w:hAnsi="宋体" w:eastAsia="宋体" w:cs="宋体"/>
                <w:sz w:val="21"/>
                <w:szCs w:val="21"/>
                <w:highlight w:val="none"/>
              </w:rPr>
              <w:t>分</w:t>
            </w:r>
          </w:p>
        </w:tc>
        <w:tc>
          <w:tcPr>
            <w:tcW w:w="3516" w:type="dxa"/>
            <w:noWrap w:val="0"/>
            <w:vAlign w:val="center"/>
          </w:tcPr>
          <w:p w14:paraId="1D8CA523">
            <w:pPr>
              <w:keepNext w:val="0"/>
              <w:keepLines w:val="0"/>
              <w:pageBreakBefore w:val="0"/>
              <w:widowControl w:val="0"/>
              <w:kinsoku/>
              <w:wordWrap/>
              <w:overflowPunct/>
              <w:topLinePunct w:val="0"/>
              <w:bidi w:val="0"/>
              <w:adjustRightInd/>
              <w:snapToGrid/>
              <w:spacing w:line="360" w:lineRule="exact"/>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信用</w:t>
            </w:r>
            <w:r>
              <w:rPr>
                <w:rFonts w:hint="eastAsia" w:ascii="宋体" w:hAnsi="宋体" w:eastAsia="宋体" w:cs="宋体"/>
                <w:sz w:val="21"/>
                <w:szCs w:val="21"/>
                <w:highlight w:val="none"/>
              </w:rPr>
              <w:t>等级</w:t>
            </w:r>
            <w:r>
              <w:rPr>
                <w:rFonts w:hint="eastAsia" w:ascii="宋体" w:hAnsi="宋体" w:eastAsia="宋体" w:cs="宋体"/>
                <w:sz w:val="21"/>
                <w:szCs w:val="21"/>
                <w:highlight w:val="none"/>
                <w:lang w:val="en-US" w:eastAsia="zh-CN"/>
              </w:rPr>
              <w:t>D</w:t>
            </w:r>
          </w:p>
        </w:tc>
      </w:tr>
      <w:tr w14:paraId="2EE72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vMerge w:val="continue"/>
            <w:noWrap w:val="0"/>
            <w:vAlign w:val="center"/>
          </w:tcPr>
          <w:p w14:paraId="7E1A842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1"/>
                <w:szCs w:val="21"/>
                <w:highlight w:val="none"/>
              </w:rPr>
            </w:pPr>
          </w:p>
        </w:tc>
        <w:tc>
          <w:tcPr>
            <w:tcW w:w="540" w:type="dxa"/>
            <w:vMerge w:val="continue"/>
            <w:noWrap w:val="0"/>
            <w:vAlign w:val="center"/>
          </w:tcPr>
          <w:p w14:paraId="3189226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1"/>
                <w:szCs w:val="21"/>
                <w:highlight w:val="none"/>
              </w:rPr>
            </w:pPr>
          </w:p>
        </w:tc>
        <w:tc>
          <w:tcPr>
            <w:tcW w:w="555" w:type="dxa"/>
            <w:vMerge w:val="continue"/>
            <w:noWrap w:val="0"/>
            <w:vAlign w:val="center"/>
          </w:tcPr>
          <w:p w14:paraId="05F21FCF">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sz w:val="21"/>
                <w:szCs w:val="21"/>
                <w:highlight w:val="none"/>
              </w:rPr>
            </w:pPr>
          </w:p>
        </w:tc>
        <w:tc>
          <w:tcPr>
            <w:tcW w:w="7592" w:type="dxa"/>
            <w:gridSpan w:val="4"/>
            <w:noWrap w:val="0"/>
            <w:vAlign w:val="center"/>
          </w:tcPr>
          <w:p w14:paraId="56ACD32E">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sz w:val="21"/>
                <w:szCs w:val="21"/>
                <w:highlight w:val="none"/>
              </w:rPr>
            </w:pPr>
            <w:r>
              <w:rPr>
                <w:rFonts w:hint="eastAsia" w:ascii="宋体" w:hAnsi="宋体" w:eastAsia="宋体" w:cs="宋体"/>
                <w:color w:val="auto"/>
                <w:kern w:val="0"/>
                <w:sz w:val="21"/>
                <w:szCs w:val="21"/>
                <w:highlight w:val="none"/>
                <w:lang w:val="en-US" w:eastAsia="zh-CN"/>
              </w:rPr>
              <w:t>注：</w:t>
            </w:r>
            <w:r>
              <w:rPr>
                <w:rFonts w:hint="eastAsia" w:ascii="宋体" w:hAnsi="宋体" w:eastAsia="宋体" w:cs="宋体"/>
                <w:color w:val="auto"/>
                <w:kern w:val="0"/>
                <w:sz w:val="21"/>
                <w:szCs w:val="21"/>
                <w:highlight w:val="none"/>
              </w:rPr>
              <w:t>信用评价等级</w:t>
            </w:r>
            <w:r>
              <w:rPr>
                <w:rFonts w:hint="eastAsia" w:ascii="宋体" w:hAnsi="宋体" w:eastAsia="宋体" w:cs="宋体"/>
                <w:color w:val="auto"/>
                <w:sz w:val="21"/>
                <w:szCs w:val="21"/>
                <w:highlight w:val="none"/>
              </w:rPr>
              <w:t>优先采用以下所列</w:t>
            </w:r>
            <w:r>
              <w:rPr>
                <w:rFonts w:hint="eastAsia" w:ascii="宋体" w:hAnsi="宋体" w:eastAsia="宋体" w:cs="宋体"/>
                <w:color w:val="auto"/>
                <w:sz w:val="21"/>
                <w:szCs w:val="21"/>
                <w:highlight w:val="none"/>
                <w:lang w:val="en-US" w:eastAsia="zh-CN"/>
              </w:rPr>
              <w:t>顺序</w:t>
            </w:r>
            <w:r>
              <w:rPr>
                <w:rFonts w:hint="eastAsia" w:ascii="宋体" w:hAnsi="宋体" w:eastAsia="宋体" w:cs="宋体"/>
                <w:color w:val="auto"/>
                <w:sz w:val="21"/>
                <w:szCs w:val="21"/>
                <w:highlight w:val="none"/>
              </w:rPr>
              <w:t>在前的企业信用等级：</w:t>
            </w:r>
          </w:p>
          <w:p w14:paraId="0872F91C">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（1）吉林省交通运输厅发布的“吉林省2024年度公路建设市场省级信用评价结果的通告</w:t>
            </w:r>
            <w:r>
              <w:rPr>
                <w:rFonts w:hint="eastAsia" w:ascii="宋体" w:hAnsi="宋体" w:eastAsia="宋体" w:cs="宋体"/>
                <w:color w:val="auto"/>
                <w:kern w:val="0"/>
                <w:sz w:val="21"/>
                <w:szCs w:val="21"/>
                <w:highlight w:val="none"/>
              </w:rPr>
              <w:t>”中投标人的信用等级；</w:t>
            </w:r>
          </w:p>
          <w:p w14:paraId="67C94CDE">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（2）交通运输部“全国公路建设市场监督管理系统</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全国公路从业单位信用评价结果”</w:t>
            </w:r>
            <w:r>
              <w:rPr>
                <w:rFonts w:hint="eastAsia" w:ascii="宋体" w:hAnsi="宋体" w:eastAsia="宋体" w:cs="宋体"/>
                <w:sz w:val="21"/>
                <w:szCs w:val="21"/>
                <w:highlight w:val="none"/>
                <w:lang w:val="en-US" w:eastAsia="zh-CN"/>
              </w:rPr>
              <w:t>中，</w:t>
            </w:r>
            <w:r>
              <w:rPr>
                <w:rFonts w:hint="eastAsia" w:ascii="宋体" w:hAnsi="宋体" w:eastAsia="宋体" w:cs="宋体"/>
                <w:color w:val="auto"/>
                <w:sz w:val="21"/>
                <w:szCs w:val="21"/>
                <w:highlight w:val="none"/>
              </w:rPr>
              <w:t>投标人的202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度“监理企业”</w:t>
            </w:r>
            <w:r>
              <w:rPr>
                <w:rFonts w:hint="eastAsia" w:ascii="宋体" w:hAnsi="宋体" w:eastAsia="宋体" w:cs="宋体"/>
                <w:color w:val="auto"/>
                <w:sz w:val="21"/>
                <w:szCs w:val="21"/>
                <w:highlight w:val="none"/>
              </w:rPr>
              <w:t>信用等级；</w:t>
            </w:r>
          </w:p>
          <w:p w14:paraId="0E2B5F6E">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（3）企业无上述信用评价的，若未列入交通运输部“全国公路建设市场监督管理系统”中“不良信用记录”的，按A级对待，否则</w:t>
            </w:r>
            <w:r>
              <w:rPr>
                <w:rFonts w:hint="eastAsia" w:ascii="宋体" w:hAnsi="宋体" w:eastAsia="宋体" w:cs="宋体"/>
                <w:sz w:val="21"/>
                <w:szCs w:val="21"/>
                <w:highlight w:val="none"/>
                <w:lang w:val="en-US" w:eastAsia="zh-CN"/>
              </w:rPr>
              <w:t>视其严重程度</w:t>
            </w:r>
            <w:r>
              <w:rPr>
                <w:rFonts w:hint="eastAsia" w:ascii="宋体" w:hAnsi="宋体" w:eastAsia="宋体" w:cs="宋体"/>
                <w:sz w:val="21"/>
                <w:szCs w:val="21"/>
                <w:highlight w:val="none"/>
              </w:rPr>
              <w:t>按B级或以下等级对待。</w:t>
            </w:r>
          </w:p>
        </w:tc>
      </w:tr>
      <w:tr w14:paraId="4039D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606" w:type="dxa"/>
            <w:gridSpan w:val="7"/>
            <w:noWrap w:val="0"/>
            <w:vAlign w:val="center"/>
          </w:tcPr>
          <w:p w14:paraId="475FF25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需要补充的其他内容：</w:t>
            </w:r>
            <w:r>
              <w:rPr>
                <w:rFonts w:hint="eastAsia" w:ascii="宋体" w:hAnsi="宋体" w:eastAsia="宋体" w:cs="宋体"/>
                <w:b/>
                <w:bCs/>
                <w:sz w:val="21"/>
                <w:szCs w:val="21"/>
                <w:highlight w:val="none"/>
              </w:rPr>
              <w:t>投标文件的技术建议书部分采用“暗标”形式，如果技术建议书出现能识别投标人的内容，经评标委员会确定后，将否决其投标。</w:t>
            </w:r>
          </w:p>
        </w:tc>
      </w:tr>
    </w:tbl>
    <w:p w14:paraId="64BCC368">
      <w:pPr>
        <w:keepLines w:val="0"/>
        <w:kinsoku/>
        <w:wordWrap/>
        <w:overflowPunct/>
        <w:topLinePunct w:val="0"/>
        <w:bidi w:val="0"/>
        <w:spacing w:line="360" w:lineRule="exact"/>
        <w:jc w:val="center"/>
        <w:textAlignment w:val="auto"/>
        <w:rPr>
          <w:rFonts w:hint="eastAsia" w:ascii="宋体" w:hAnsi="宋体" w:eastAsia="宋体" w:cs="宋体"/>
          <w:b/>
          <w:bCs/>
          <w:sz w:val="21"/>
          <w:szCs w:val="21"/>
          <w:highlight w:val="none"/>
          <w:lang w:val="en-US" w:eastAsia="zh-CN"/>
        </w:rPr>
      </w:pPr>
    </w:p>
    <w:p w14:paraId="3B81AA2E">
      <w:pPr>
        <w:keepLines w:val="0"/>
        <w:kinsoku/>
        <w:wordWrap/>
        <w:overflowPunct/>
        <w:topLinePunct w:val="0"/>
        <w:bidi w:val="0"/>
        <w:spacing w:line="360" w:lineRule="exact"/>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br w:type="page"/>
      </w:r>
      <w:r>
        <w:rPr>
          <w:rFonts w:hint="eastAsia" w:ascii="宋体" w:hAnsi="宋体" w:eastAsia="宋体" w:cs="宋体"/>
          <w:b/>
          <w:bCs/>
          <w:sz w:val="21"/>
          <w:szCs w:val="21"/>
          <w:highlight w:val="none"/>
          <w:lang w:val="en-US" w:eastAsia="zh-CN"/>
        </w:rPr>
        <w:t>中心试验室标段详细评审</w:t>
      </w:r>
    </w:p>
    <w:tbl>
      <w:tblPr>
        <w:tblStyle w:val="11"/>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558"/>
        <w:gridCol w:w="552"/>
        <w:gridCol w:w="1140"/>
        <w:gridCol w:w="2133"/>
        <w:gridCol w:w="777"/>
        <w:gridCol w:w="3527"/>
      </w:tblGrid>
      <w:tr w14:paraId="2C7C8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079" w:type="dxa"/>
            <w:gridSpan w:val="6"/>
            <w:noWrap w:val="0"/>
            <w:vAlign w:val="center"/>
          </w:tcPr>
          <w:p w14:paraId="0F42E21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评分因素与权重分值</w:t>
            </w:r>
            <w:r>
              <w:rPr>
                <w:rStyle w:val="13"/>
                <w:rFonts w:hint="eastAsia" w:ascii="宋体" w:hAnsi="宋体" w:eastAsia="宋体" w:cs="宋体"/>
                <w:sz w:val="21"/>
                <w:szCs w:val="21"/>
                <w:highlight w:val="none"/>
              </w:rPr>
              <w:footnoteReference w:id="5"/>
            </w:r>
          </w:p>
        </w:tc>
        <w:tc>
          <w:tcPr>
            <w:tcW w:w="3527" w:type="dxa"/>
            <w:vMerge w:val="restart"/>
            <w:noWrap w:val="0"/>
            <w:vAlign w:val="center"/>
          </w:tcPr>
          <w:p w14:paraId="4FA3E56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评分标准</w:t>
            </w:r>
          </w:p>
        </w:tc>
      </w:tr>
      <w:tr w14:paraId="0F0A5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19" w:type="dxa"/>
            <w:noWrap w:val="0"/>
            <w:vAlign w:val="center"/>
          </w:tcPr>
          <w:p w14:paraId="67C66D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条款号</w:t>
            </w:r>
          </w:p>
        </w:tc>
        <w:tc>
          <w:tcPr>
            <w:tcW w:w="1110" w:type="dxa"/>
            <w:gridSpan w:val="2"/>
            <w:noWrap w:val="0"/>
            <w:vAlign w:val="center"/>
          </w:tcPr>
          <w:p w14:paraId="35070B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评分因素</w:t>
            </w:r>
          </w:p>
        </w:tc>
        <w:tc>
          <w:tcPr>
            <w:tcW w:w="1140" w:type="dxa"/>
            <w:noWrap w:val="0"/>
            <w:vAlign w:val="center"/>
          </w:tcPr>
          <w:p w14:paraId="304F3B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评分因素</w:t>
            </w:r>
            <w:r>
              <w:rPr>
                <w:rFonts w:hint="eastAsia" w:ascii="宋体" w:hAnsi="宋体" w:eastAsia="宋体" w:cs="宋体"/>
                <w:b/>
                <w:sz w:val="21"/>
                <w:szCs w:val="21"/>
                <w:highlight w:val="none"/>
              </w:rPr>
              <w:br w:type="textWrapping"/>
            </w:r>
            <w:r>
              <w:rPr>
                <w:rFonts w:hint="eastAsia" w:ascii="宋体" w:hAnsi="宋体" w:eastAsia="宋体" w:cs="宋体"/>
                <w:b/>
                <w:sz w:val="21"/>
                <w:szCs w:val="21"/>
                <w:highlight w:val="none"/>
              </w:rPr>
              <w:t>权重分值</w:t>
            </w:r>
          </w:p>
        </w:tc>
        <w:tc>
          <w:tcPr>
            <w:tcW w:w="2133" w:type="dxa"/>
            <w:noWrap w:val="0"/>
            <w:vAlign w:val="center"/>
          </w:tcPr>
          <w:p w14:paraId="057C2E6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各评分因素细分项</w:t>
            </w:r>
          </w:p>
        </w:tc>
        <w:tc>
          <w:tcPr>
            <w:tcW w:w="777" w:type="dxa"/>
            <w:noWrap w:val="0"/>
            <w:vAlign w:val="center"/>
          </w:tcPr>
          <w:p w14:paraId="7B232C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分值</w:t>
            </w:r>
          </w:p>
        </w:tc>
        <w:tc>
          <w:tcPr>
            <w:tcW w:w="3527" w:type="dxa"/>
            <w:vMerge w:val="continue"/>
            <w:noWrap w:val="0"/>
            <w:vAlign w:val="top"/>
          </w:tcPr>
          <w:p w14:paraId="66201ED0">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highlight w:val="none"/>
              </w:rPr>
            </w:pPr>
          </w:p>
        </w:tc>
      </w:tr>
      <w:tr w14:paraId="1B1B4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9" w:type="dxa"/>
            <w:vMerge w:val="restart"/>
            <w:noWrap w:val="0"/>
            <w:vAlign w:val="center"/>
          </w:tcPr>
          <w:p w14:paraId="64CB8C5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2.2.4（1）</w:t>
            </w:r>
          </w:p>
        </w:tc>
        <w:tc>
          <w:tcPr>
            <w:tcW w:w="1110" w:type="dxa"/>
            <w:gridSpan w:val="2"/>
            <w:vMerge w:val="restart"/>
            <w:noWrap w:val="0"/>
            <w:vAlign w:val="center"/>
          </w:tcPr>
          <w:p w14:paraId="296C187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技术</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建议书</w:t>
            </w:r>
          </w:p>
        </w:tc>
        <w:tc>
          <w:tcPr>
            <w:tcW w:w="1140" w:type="dxa"/>
            <w:vMerge w:val="restart"/>
            <w:noWrap w:val="0"/>
            <w:vAlign w:val="center"/>
          </w:tcPr>
          <w:p w14:paraId="6E23B58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35</w:t>
            </w:r>
            <w:r>
              <w:rPr>
                <w:rFonts w:hint="eastAsia" w:ascii="宋体" w:hAnsi="宋体" w:eastAsia="宋体" w:cs="宋体"/>
                <w:sz w:val="21"/>
                <w:szCs w:val="21"/>
                <w:highlight w:val="none"/>
              </w:rPr>
              <w:t>分</w:t>
            </w:r>
          </w:p>
        </w:tc>
        <w:tc>
          <w:tcPr>
            <w:tcW w:w="2133" w:type="dxa"/>
            <w:vMerge w:val="restart"/>
            <w:noWrap w:val="0"/>
            <w:vAlign w:val="center"/>
          </w:tcPr>
          <w:p w14:paraId="554D6FEC">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试验检测工作的程序、</w:t>
            </w:r>
            <w:r>
              <w:rPr>
                <w:rFonts w:hint="eastAsia" w:ascii="宋体" w:hAnsi="宋体" w:eastAsia="宋体" w:cs="宋体"/>
                <w:sz w:val="21"/>
                <w:szCs w:val="21"/>
                <w:highlight w:val="none"/>
                <w:lang w:val="en-US" w:eastAsia="zh-CN"/>
              </w:rPr>
              <w:t>内容和</w:t>
            </w:r>
            <w:r>
              <w:rPr>
                <w:rFonts w:hint="eastAsia" w:ascii="宋体" w:hAnsi="宋体" w:eastAsia="宋体" w:cs="宋体"/>
                <w:sz w:val="21"/>
                <w:szCs w:val="21"/>
                <w:highlight w:val="none"/>
              </w:rPr>
              <w:t>方法</w:t>
            </w:r>
          </w:p>
        </w:tc>
        <w:tc>
          <w:tcPr>
            <w:tcW w:w="777" w:type="dxa"/>
            <w:vMerge w:val="restart"/>
            <w:noWrap w:val="0"/>
            <w:vAlign w:val="center"/>
          </w:tcPr>
          <w:p w14:paraId="03978AC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2</w:t>
            </w:r>
            <w:r>
              <w:rPr>
                <w:rFonts w:hint="eastAsia" w:ascii="宋体" w:hAnsi="宋体" w:eastAsia="宋体" w:cs="宋体"/>
                <w:sz w:val="21"/>
                <w:szCs w:val="21"/>
                <w:highlight w:val="none"/>
                <w:u w:val="single"/>
                <w:lang w:val="en-US" w:eastAsia="zh-CN"/>
              </w:rPr>
              <w:t>0</w:t>
            </w:r>
            <w:r>
              <w:rPr>
                <w:rFonts w:hint="eastAsia" w:ascii="宋体" w:hAnsi="宋体" w:eastAsia="宋体" w:cs="宋体"/>
                <w:sz w:val="21"/>
                <w:szCs w:val="21"/>
                <w:highlight w:val="none"/>
              </w:rPr>
              <w:t>分</w:t>
            </w:r>
          </w:p>
        </w:tc>
        <w:tc>
          <w:tcPr>
            <w:tcW w:w="3527" w:type="dxa"/>
            <w:noWrap w:val="0"/>
            <w:vAlign w:val="center"/>
          </w:tcPr>
          <w:p w14:paraId="58DC206F">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一般</w:t>
            </w:r>
            <w:r>
              <w:rPr>
                <w:rFonts w:hint="eastAsia" w:ascii="宋体" w:hAnsi="宋体" w:eastAsia="宋体" w:cs="宋体"/>
                <w:sz w:val="21"/>
                <w:szCs w:val="21"/>
                <w:highlight w:val="none"/>
              </w:rPr>
              <w:t>得</w:t>
            </w:r>
            <w:r>
              <w:rPr>
                <w:rFonts w:hint="eastAsia" w:ascii="宋体" w:hAnsi="宋体" w:eastAsia="宋体" w:cs="宋体"/>
                <w:sz w:val="21"/>
                <w:szCs w:val="21"/>
                <w:highlight w:val="none"/>
              </w:rPr>
              <w:t>12～15分</w:t>
            </w:r>
          </w:p>
        </w:tc>
      </w:tr>
      <w:tr w14:paraId="20D06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9" w:type="dxa"/>
            <w:vMerge w:val="continue"/>
            <w:noWrap w:val="0"/>
            <w:vAlign w:val="center"/>
          </w:tcPr>
          <w:p w14:paraId="370A8E2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p>
        </w:tc>
        <w:tc>
          <w:tcPr>
            <w:tcW w:w="1110" w:type="dxa"/>
            <w:gridSpan w:val="2"/>
            <w:vMerge w:val="continue"/>
            <w:noWrap w:val="0"/>
            <w:vAlign w:val="center"/>
          </w:tcPr>
          <w:p w14:paraId="0B6B40B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p>
        </w:tc>
        <w:tc>
          <w:tcPr>
            <w:tcW w:w="1140" w:type="dxa"/>
            <w:vMerge w:val="continue"/>
            <w:noWrap w:val="0"/>
            <w:vAlign w:val="center"/>
          </w:tcPr>
          <w:p w14:paraId="5F1FF9F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u w:val="single"/>
              </w:rPr>
            </w:pPr>
          </w:p>
        </w:tc>
        <w:tc>
          <w:tcPr>
            <w:tcW w:w="2133" w:type="dxa"/>
            <w:vMerge w:val="continue"/>
            <w:noWrap w:val="0"/>
            <w:vAlign w:val="center"/>
          </w:tcPr>
          <w:p w14:paraId="03C236B9">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highlight w:val="none"/>
                <w:lang w:bidi="en-US"/>
              </w:rPr>
            </w:pPr>
          </w:p>
        </w:tc>
        <w:tc>
          <w:tcPr>
            <w:tcW w:w="777" w:type="dxa"/>
            <w:vMerge w:val="continue"/>
            <w:noWrap w:val="0"/>
            <w:vAlign w:val="center"/>
          </w:tcPr>
          <w:p w14:paraId="4A54848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u w:val="single"/>
              </w:rPr>
            </w:pPr>
          </w:p>
        </w:tc>
        <w:tc>
          <w:tcPr>
            <w:tcW w:w="3527" w:type="dxa"/>
            <w:noWrap w:val="0"/>
            <w:vAlign w:val="center"/>
          </w:tcPr>
          <w:p w14:paraId="2E15A4A2">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满意得</w:t>
            </w:r>
            <w:r>
              <w:rPr>
                <w:rFonts w:hint="eastAsia" w:ascii="宋体" w:hAnsi="宋体" w:eastAsia="宋体" w:cs="宋体"/>
                <w:sz w:val="21"/>
                <w:szCs w:val="21"/>
                <w:highlight w:val="none"/>
              </w:rPr>
              <w:t>15～20分</w:t>
            </w:r>
          </w:p>
        </w:tc>
      </w:tr>
      <w:tr w14:paraId="1D1F8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9" w:type="dxa"/>
            <w:vMerge w:val="continue"/>
            <w:noWrap w:val="0"/>
            <w:vAlign w:val="center"/>
          </w:tcPr>
          <w:p w14:paraId="5F417C7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p>
        </w:tc>
        <w:tc>
          <w:tcPr>
            <w:tcW w:w="1110" w:type="dxa"/>
            <w:gridSpan w:val="2"/>
            <w:vMerge w:val="continue"/>
            <w:noWrap w:val="0"/>
            <w:vAlign w:val="center"/>
          </w:tcPr>
          <w:p w14:paraId="5789B3E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p>
        </w:tc>
        <w:tc>
          <w:tcPr>
            <w:tcW w:w="1140" w:type="dxa"/>
            <w:vMerge w:val="continue"/>
            <w:noWrap w:val="0"/>
            <w:vAlign w:val="center"/>
          </w:tcPr>
          <w:p w14:paraId="13467F7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u w:val="single"/>
              </w:rPr>
            </w:pPr>
          </w:p>
        </w:tc>
        <w:tc>
          <w:tcPr>
            <w:tcW w:w="2133" w:type="dxa"/>
            <w:vMerge w:val="restart"/>
            <w:noWrap w:val="0"/>
            <w:vAlign w:val="center"/>
          </w:tcPr>
          <w:p w14:paraId="761D6938">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highlight w:val="none"/>
                <w:lang w:bidi="en-US"/>
              </w:rPr>
            </w:pPr>
            <w:r>
              <w:rPr>
                <w:rFonts w:hint="eastAsia" w:ascii="宋体" w:hAnsi="宋体" w:eastAsia="宋体" w:cs="宋体"/>
                <w:sz w:val="21"/>
                <w:szCs w:val="21"/>
                <w:highlight w:val="none"/>
                <w:lang w:bidi="en-US"/>
              </w:rPr>
              <w:t>本</w:t>
            </w:r>
            <w:r>
              <w:rPr>
                <w:rFonts w:hint="eastAsia" w:ascii="宋体" w:hAnsi="宋体" w:eastAsia="宋体" w:cs="宋体"/>
                <w:sz w:val="21"/>
                <w:szCs w:val="21"/>
                <w:highlight w:val="none"/>
                <w:lang w:val="en-US" w:eastAsia="zh-CN" w:bidi="en-US"/>
              </w:rPr>
              <w:t>工程试验检测</w:t>
            </w:r>
            <w:r>
              <w:rPr>
                <w:rFonts w:hint="eastAsia" w:ascii="宋体" w:hAnsi="宋体" w:eastAsia="宋体" w:cs="宋体"/>
                <w:sz w:val="21"/>
                <w:szCs w:val="21"/>
                <w:highlight w:val="none"/>
                <w:lang w:bidi="en-US"/>
              </w:rPr>
              <w:t>的重点与难点</w:t>
            </w:r>
            <w:r>
              <w:rPr>
                <w:rFonts w:hint="eastAsia" w:ascii="宋体" w:hAnsi="宋体" w:eastAsia="宋体" w:cs="宋体"/>
                <w:sz w:val="21"/>
                <w:szCs w:val="21"/>
                <w:highlight w:val="none"/>
                <w:lang w:bidi="en-US"/>
              </w:rPr>
              <w:t>分析</w:t>
            </w:r>
            <w:r>
              <w:rPr>
                <w:rFonts w:hint="eastAsia" w:ascii="宋体" w:hAnsi="宋体" w:eastAsia="宋体" w:cs="宋体"/>
                <w:sz w:val="21"/>
                <w:szCs w:val="21"/>
                <w:highlight w:val="none"/>
                <w:lang w:val="en-US" w:eastAsia="zh-CN" w:bidi="en-US"/>
              </w:rPr>
              <w:t>及建议</w:t>
            </w:r>
          </w:p>
        </w:tc>
        <w:tc>
          <w:tcPr>
            <w:tcW w:w="777" w:type="dxa"/>
            <w:vMerge w:val="restart"/>
            <w:noWrap w:val="0"/>
            <w:vAlign w:val="center"/>
          </w:tcPr>
          <w:p w14:paraId="62CC91C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lang w:val="en-US" w:eastAsia="zh-CN"/>
              </w:rPr>
              <w:t>10</w:t>
            </w:r>
            <w:r>
              <w:rPr>
                <w:rFonts w:hint="eastAsia" w:ascii="宋体" w:hAnsi="宋体" w:eastAsia="宋体" w:cs="宋体"/>
                <w:sz w:val="21"/>
                <w:szCs w:val="21"/>
                <w:highlight w:val="none"/>
              </w:rPr>
              <w:t>分</w:t>
            </w:r>
          </w:p>
        </w:tc>
        <w:tc>
          <w:tcPr>
            <w:tcW w:w="3527" w:type="dxa"/>
            <w:noWrap w:val="0"/>
            <w:vAlign w:val="center"/>
          </w:tcPr>
          <w:p w14:paraId="6DEA204D">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一般</w:t>
            </w:r>
            <w:r>
              <w:rPr>
                <w:rFonts w:hint="eastAsia" w:ascii="宋体" w:hAnsi="宋体" w:eastAsia="宋体" w:cs="宋体"/>
                <w:sz w:val="21"/>
                <w:szCs w:val="21"/>
                <w:highlight w:val="none"/>
              </w:rPr>
              <w:t>得</w:t>
            </w:r>
            <w:r>
              <w:rPr>
                <w:rFonts w:hint="eastAsia" w:ascii="宋体" w:hAnsi="宋体" w:eastAsia="宋体" w:cs="宋体"/>
                <w:sz w:val="21"/>
                <w:szCs w:val="21"/>
                <w:highlight w:val="none"/>
              </w:rPr>
              <w:t>6～8分</w:t>
            </w:r>
          </w:p>
        </w:tc>
      </w:tr>
      <w:tr w14:paraId="440D2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9" w:type="dxa"/>
            <w:vMerge w:val="continue"/>
            <w:noWrap w:val="0"/>
            <w:vAlign w:val="center"/>
          </w:tcPr>
          <w:p w14:paraId="04ADACC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p>
        </w:tc>
        <w:tc>
          <w:tcPr>
            <w:tcW w:w="1110" w:type="dxa"/>
            <w:gridSpan w:val="2"/>
            <w:vMerge w:val="continue"/>
            <w:noWrap w:val="0"/>
            <w:vAlign w:val="center"/>
          </w:tcPr>
          <w:p w14:paraId="53AB6FC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p>
        </w:tc>
        <w:tc>
          <w:tcPr>
            <w:tcW w:w="1140" w:type="dxa"/>
            <w:vMerge w:val="continue"/>
            <w:noWrap w:val="0"/>
            <w:vAlign w:val="center"/>
          </w:tcPr>
          <w:p w14:paraId="1088AE2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u w:val="single"/>
              </w:rPr>
            </w:pPr>
          </w:p>
        </w:tc>
        <w:tc>
          <w:tcPr>
            <w:tcW w:w="2133" w:type="dxa"/>
            <w:vMerge w:val="continue"/>
            <w:noWrap w:val="0"/>
            <w:vAlign w:val="center"/>
          </w:tcPr>
          <w:p w14:paraId="5779D4DD">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highlight w:val="none"/>
                <w:lang w:bidi="en-US"/>
              </w:rPr>
            </w:pPr>
          </w:p>
        </w:tc>
        <w:tc>
          <w:tcPr>
            <w:tcW w:w="777" w:type="dxa"/>
            <w:vMerge w:val="continue"/>
            <w:noWrap w:val="0"/>
            <w:vAlign w:val="center"/>
          </w:tcPr>
          <w:p w14:paraId="2B44FA6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u w:val="single"/>
              </w:rPr>
            </w:pPr>
          </w:p>
        </w:tc>
        <w:tc>
          <w:tcPr>
            <w:tcW w:w="3527" w:type="dxa"/>
            <w:noWrap w:val="0"/>
            <w:vAlign w:val="center"/>
          </w:tcPr>
          <w:p w14:paraId="1FEB58BE">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满意得</w:t>
            </w:r>
            <w:r>
              <w:rPr>
                <w:rFonts w:hint="eastAsia" w:ascii="宋体" w:hAnsi="宋体" w:eastAsia="宋体" w:cs="宋体"/>
                <w:sz w:val="21"/>
                <w:szCs w:val="21"/>
                <w:highlight w:val="none"/>
              </w:rPr>
              <w:t>8～10分</w:t>
            </w:r>
          </w:p>
        </w:tc>
      </w:tr>
      <w:tr w14:paraId="5A1C8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9" w:type="dxa"/>
            <w:vMerge w:val="continue"/>
            <w:noWrap w:val="0"/>
            <w:vAlign w:val="center"/>
          </w:tcPr>
          <w:p w14:paraId="7F10D3A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p>
        </w:tc>
        <w:tc>
          <w:tcPr>
            <w:tcW w:w="1110" w:type="dxa"/>
            <w:gridSpan w:val="2"/>
            <w:vMerge w:val="continue"/>
            <w:noWrap w:val="0"/>
            <w:vAlign w:val="center"/>
          </w:tcPr>
          <w:p w14:paraId="29E5683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p>
        </w:tc>
        <w:tc>
          <w:tcPr>
            <w:tcW w:w="1140" w:type="dxa"/>
            <w:vMerge w:val="continue"/>
            <w:noWrap w:val="0"/>
            <w:vAlign w:val="center"/>
          </w:tcPr>
          <w:p w14:paraId="4DAFC7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p>
        </w:tc>
        <w:tc>
          <w:tcPr>
            <w:tcW w:w="2133" w:type="dxa"/>
            <w:vMerge w:val="restart"/>
            <w:noWrap w:val="0"/>
            <w:vAlign w:val="center"/>
          </w:tcPr>
          <w:p w14:paraId="0F74F7FC">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试验检测工作</w:t>
            </w:r>
            <w:r>
              <w:rPr>
                <w:rFonts w:hint="eastAsia" w:ascii="宋体" w:hAnsi="宋体" w:eastAsia="宋体" w:cs="宋体"/>
                <w:sz w:val="21"/>
                <w:szCs w:val="21"/>
                <w:highlight w:val="none"/>
              </w:rPr>
              <w:t>服务</w:t>
            </w:r>
            <w:r>
              <w:rPr>
                <w:rFonts w:hint="eastAsia" w:ascii="宋体" w:hAnsi="宋体" w:eastAsia="宋体" w:cs="宋体"/>
                <w:sz w:val="21"/>
                <w:szCs w:val="21"/>
                <w:highlight w:val="none"/>
              </w:rPr>
              <w:t>保证措施</w:t>
            </w:r>
          </w:p>
        </w:tc>
        <w:tc>
          <w:tcPr>
            <w:tcW w:w="777" w:type="dxa"/>
            <w:vMerge w:val="restart"/>
            <w:noWrap w:val="0"/>
            <w:vAlign w:val="center"/>
          </w:tcPr>
          <w:p w14:paraId="107D4D0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lang w:val="en-US" w:eastAsia="zh-CN"/>
              </w:rPr>
              <w:t>5</w:t>
            </w:r>
            <w:r>
              <w:rPr>
                <w:rFonts w:hint="eastAsia" w:ascii="宋体" w:hAnsi="宋体" w:eastAsia="宋体" w:cs="宋体"/>
                <w:sz w:val="21"/>
                <w:szCs w:val="21"/>
                <w:highlight w:val="none"/>
              </w:rPr>
              <w:t>分</w:t>
            </w:r>
          </w:p>
        </w:tc>
        <w:tc>
          <w:tcPr>
            <w:tcW w:w="3527" w:type="dxa"/>
            <w:noWrap w:val="0"/>
            <w:vAlign w:val="center"/>
          </w:tcPr>
          <w:p w14:paraId="6C225F77">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一般</w:t>
            </w:r>
            <w:r>
              <w:rPr>
                <w:rFonts w:hint="eastAsia" w:ascii="宋体" w:hAnsi="宋体" w:eastAsia="宋体" w:cs="宋体"/>
                <w:sz w:val="21"/>
                <w:szCs w:val="21"/>
                <w:highlight w:val="none"/>
              </w:rPr>
              <w:t>得</w:t>
            </w:r>
            <w:r>
              <w:rPr>
                <w:rFonts w:hint="eastAsia" w:ascii="宋体" w:hAnsi="宋体" w:eastAsia="宋体" w:cs="宋体"/>
                <w:sz w:val="21"/>
                <w:szCs w:val="21"/>
                <w:highlight w:val="none"/>
              </w:rPr>
              <w:t>3～4分</w:t>
            </w:r>
          </w:p>
        </w:tc>
      </w:tr>
      <w:tr w14:paraId="02469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9" w:type="dxa"/>
            <w:vMerge w:val="continue"/>
            <w:noWrap w:val="0"/>
            <w:vAlign w:val="center"/>
          </w:tcPr>
          <w:p w14:paraId="1436B2A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p>
        </w:tc>
        <w:tc>
          <w:tcPr>
            <w:tcW w:w="1110" w:type="dxa"/>
            <w:gridSpan w:val="2"/>
            <w:vMerge w:val="continue"/>
            <w:noWrap w:val="0"/>
            <w:vAlign w:val="center"/>
          </w:tcPr>
          <w:p w14:paraId="565BA52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p>
        </w:tc>
        <w:tc>
          <w:tcPr>
            <w:tcW w:w="1140" w:type="dxa"/>
            <w:vMerge w:val="continue"/>
            <w:noWrap w:val="0"/>
            <w:vAlign w:val="center"/>
          </w:tcPr>
          <w:p w14:paraId="4D3C28D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p>
        </w:tc>
        <w:tc>
          <w:tcPr>
            <w:tcW w:w="2133" w:type="dxa"/>
            <w:vMerge w:val="continue"/>
            <w:noWrap w:val="0"/>
            <w:vAlign w:val="center"/>
          </w:tcPr>
          <w:p w14:paraId="68275F65">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highlight w:val="none"/>
                <w:lang w:bidi="en-US"/>
              </w:rPr>
            </w:pPr>
          </w:p>
        </w:tc>
        <w:tc>
          <w:tcPr>
            <w:tcW w:w="777" w:type="dxa"/>
            <w:vMerge w:val="continue"/>
            <w:noWrap w:val="0"/>
            <w:vAlign w:val="center"/>
          </w:tcPr>
          <w:p w14:paraId="5CC39D5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u w:val="single"/>
              </w:rPr>
            </w:pPr>
          </w:p>
        </w:tc>
        <w:tc>
          <w:tcPr>
            <w:tcW w:w="3527" w:type="dxa"/>
            <w:noWrap w:val="0"/>
            <w:vAlign w:val="center"/>
          </w:tcPr>
          <w:p w14:paraId="3D0C71D0">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满意得</w:t>
            </w:r>
            <w:r>
              <w:rPr>
                <w:rFonts w:hint="eastAsia" w:ascii="宋体" w:hAnsi="宋体" w:eastAsia="宋体" w:cs="宋体"/>
                <w:sz w:val="21"/>
                <w:szCs w:val="21"/>
                <w:highlight w:val="none"/>
              </w:rPr>
              <w:t>4～5分</w:t>
            </w:r>
          </w:p>
        </w:tc>
      </w:tr>
      <w:tr w14:paraId="5A37F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9" w:type="dxa"/>
            <w:vMerge w:val="restart"/>
            <w:noWrap w:val="0"/>
            <w:vAlign w:val="center"/>
          </w:tcPr>
          <w:p w14:paraId="33DC990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2.2.4（2）</w:t>
            </w:r>
          </w:p>
        </w:tc>
        <w:tc>
          <w:tcPr>
            <w:tcW w:w="1110" w:type="dxa"/>
            <w:gridSpan w:val="2"/>
            <w:vMerge w:val="restart"/>
            <w:noWrap w:val="0"/>
            <w:vAlign w:val="center"/>
          </w:tcPr>
          <w:p w14:paraId="69B00CC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主要人员</w:t>
            </w:r>
          </w:p>
        </w:tc>
        <w:tc>
          <w:tcPr>
            <w:tcW w:w="1140" w:type="dxa"/>
            <w:vMerge w:val="restart"/>
            <w:noWrap w:val="0"/>
            <w:vAlign w:val="center"/>
          </w:tcPr>
          <w:p w14:paraId="17AD14B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lang w:val="en-US" w:eastAsia="zh-CN"/>
              </w:rPr>
              <w:t>30</w:t>
            </w:r>
            <w:r>
              <w:rPr>
                <w:rFonts w:hint="eastAsia" w:ascii="宋体" w:hAnsi="宋体" w:eastAsia="宋体" w:cs="宋体"/>
                <w:sz w:val="21"/>
                <w:szCs w:val="21"/>
                <w:highlight w:val="none"/>
              </w:rPr>
              <w:t>分</w:t>
            </w:r>
          </w:p>
        </w:tc>
        <w:tc>
          <w:tcPr>
            <w:tcW w:w="2133" w:type="dxa"/>
            <w:vMerge w:val="restart"/>
            <w:noWrap w:val="0"/>
            <w:vAlign w:val="center"/>
          </w:tcPr>
          <w:p w14:paraId="7147D34C">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bidi="en-US"/>
              </w:rPr>
              <w:t>试验检测负责人</w:t>
            </w:r>
            <w:r>
              <w:rPr>
                <w:rFonts w:hint="eastAsia" w:ascii="宋体" w:hAnsi="宋体" w:eastAsia="宋体" w:cs="宋体"/>
                <w:sz w:val="21"/>
                <w:szCs w:val="21"/>
                <w:highlight w:val="none"/>
                <w:lang w:bidi="en-US"/>
              </w:rPr>
              <w:t>任职资格与业绩</w:t>
            </w:r>
          </w:p>
        </w:tc>
        <w:tc>
          <w:tcPr>
            <w:tcW w:w="777" w:type="dxa"/>
            <w:noWrap w:val="0"/>
            <w:vAlign w:val="center"/>
          </w:tcPr>
          <w:p w14:paraId="068750A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1</w:t>
            </w:r>
            <w:r>
              <w:rPr>
                <w:rFonts w:hint="eastAsia" w:ascii="宋体" w:hAnsi="宋体" w:eastAsia="宋体" w:cs="宋体"/>
                <w:sz w:val="21"/>
                <w:szCs w:val="21"/>
                <w:highlight w:val="none"/>
                <w:u w:val="single"/>
                <w:lang w:val="en-US" w:eastAsia="zh-CN"/>
              </w:rPr>
              <w:t>8</w:t>
            </w:r>
            <w:r>
              <w:rPr>
                <w:rFonts w:hint="eastAsia" w:ascii="宋体" w:hAnsi="宋体" w:eastAsia="宋体" w:cs="宋体"/>
                <w:sz w:val="21"/>
                <w:szCs w:val="21"/>
                <w:highlight w:val="none"/>
              </w:rPr>
              <w:t>分</w:t>
            </w:r>
          </w:p>
        </w:tc>
        <w:tc>
          <w:tcPr>
            <w:tcW w:w="3527" w:type="dxa"/>
            <w:noWrap w:val="0"/>
            <w:vAlign w:val="center"/>
          </w:tcPr>
          <w:p w14:paraId="201F7073">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满足资格审查</w:t>
            </w:r>
            <w:r>
              <w:rPr>
                <w:rFonts w:hint="eastAsia" w:ascii="宋体" w:hAnsi="宋体" w:eastAsia="宋体" w:cs="宋体"/>
                <w:sz w:val="21"/>
                <w:szCs w:val="21"/>
                <w:highlight w:val="none"/>
              </w:rPr>
              <w:t>最低要求得</w:t>
            </w: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分</w:t>
            </w:r>
          </w:p>
        </w:tc>
      </w:tr>
      <w:tr w14:paraId="03071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9" w:type="dxa"/>
            <w:vMerge w:val="continue"/>
            <w:noWrap w:val="0"/>
            <w:vAlign w:val="center"/>
          </w:tcPr>
          <w:p w14:paraId="4F990A5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p>
        </w:tc>
        <w:tc>
          <w:tcPr>
            <w:tcW w:w="1110" w:type="dxa"/>
            <w:gridSpan w:val="2"/>
            <w:vMerge w:val="continue"/>
            <w:noWrap w:val="0"/>
            <w:vAlign w:val="center"/>
          </w:tcPr>
          <w:p w14:paraId="453536F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p>
        </w:tc>
        <w:tc>
          <w:tcPr>
            <w:tcW w:w="1140" w:type="dxa"/>
            <w:vMerge w:val="continue"/>
            <w:noWrap w:val="0"/>
            <w:vAlign w:val="center"/>
          </w:tcPr>
          <w:p w14:paraId="72E79B9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u w:val="single"/>
              </w:rPr>
            </w:pPr>
          </w:p>
        </w:tc>
        <w:tc>
          <w:tcPr>
            <w:tcW w:w="2133" w:type="dxa"/>
            <w:vMerge w:val="continue"/>
            <w:noWrap w:val="0"/>
            <w:vAlign w:val="top"/>
          </w:tcPr>
          <w:p w14:paraId="6E20B5D6">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highlight w:val="none"/>
                <w:lang w:bidi="en-US"/>
              </w:rPr>
            </w:pPr>
          </w:p>
        </w:tc>
        <w:tc>
          <w:tcPr>
            <w:tcW w:w="777" w:type="dxa"/>
            <w:noWrap w:val="0"/>
            <w:vAlign w:val="center"/>
          </w:tcPr>
          <w:p w14:paraId="44C2BD7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1</w:t>
            </w:r>
            <w:r>
              <w:rPr>
                <w:rFonts w:hint="eastAsia" w:ascii="宋体" w:hAnsi="宋体" w:eastAsia="宋体" w:cs="宋体"/>
                <w:sz w:val="21"/>
                <w:szCs w:val="21"/>
                <w:highlight w:val="none"/>
                <w:u w:val="single"/>
                <w:lang w:val="en-US" w:eastAsia="zh-CN"/>
              </w:rPr>
              <w:t>2</w:t>
            </w:r>
            <w:r>
              <w:rPr>
                <w:rFonts w:hint="eastAsia" w:ascii="宋体" w:hAnsi="宋体" w:eastAsia="宋体" w:cs="宋体"/>
                <w:sz w:val="21"/>
                <w:szCs w:val="21"/>
                <w:highlight w:val="none"/>
              </w:rPr>
              <w:t>分</w:t>
            </w:r>
          </w:p>
        </w:tc>
        <w:tc>
          <w:tcPr>
            <w:tcW w:w="3527" w:type="dxa"/>
            <w:noWrap w:val="0"/>
            <w:vAlign w:val="center"/>
          </w:tcPr>
          <w:p w14:paraId="7E0D53D3">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每提供</w:t>
            </w:r>
            <w:r>
              <w:rPr>
                <w:rFonts w:hint="eastAsia" w:ascii="宋体" w:hAnsi="宋体" w:eastAsia="宋体" w:cs="宋体"/>
                <w:sz w:val="21"/>
                <w:szCs w:val="21"/>
                <w:highlight w:val="none"/>
              </w:rPr>
              <w:t>1项</w:t>
            </w:r>
            <w:r>
              <w:rPr>
                <w:rFonts w:hint="eastAsia" w:ascii="宋体" w:hAnsi="宋体" w:eastAsia="宋体" w:cs="宋体"/>
                <w:sz w:val="21"/>
                <w:szCs w:val="21"/>
                <w:highlight w:val="none"/>
                <w:lang w:val="en-US" w:eastAsia="zh-CN"/>
              </w:rPr>
              <w:t>高速</w:t>
            </w:r>
            <w:r>
              <w:rPr>
                <w:rFonts w:hint="eastAsia" w:ascii="宋体" w:hAnsi="宋体" w:eastAsia="宋体" w:cs="宋体"/>
                <w:sz w:val="21"/>
                <w:szCs w:val="21"/>
                <w:highlight w:val="none"/>
              </w:rPr>
              <w:t>公路</w:t>
            </w:r>
            <w:r>
              <w:rPr>
                <w:rFonts w:hint="eastAsia" w:ascii="宋体" w:hAnsi="宋体" w:eastAsia="宋体" w:cs="宋体"/>
                <w:sz w:val="21"/>
                <w:szCs w:val="21"/>
                <w:highlight w:val="none"/>
                <w:lang w:val="en-US" w:eastAsia="zh-CN"/>
              </w:rPr>
              <w:t>或一级公路沥青混凝土路面新、改扩建工程或养护工程</w:t>
            </w:r>
            <w:r>
              <w:rPr>
                <w:rFonts w:hint="eastAsia" w:ascii="宋体" w:hAnsi="宋体" w:eastAsia="宋体" w:cs="宋体"/>
                <w:sz w:val="21"/>
                <w:szCs w:val="21"/>
                <w:highlight w:val="none"/>
              </w:rPr>
              <w:t>的</w:t>
            </w:r>
            <w:r>
              <w:rPr>
                <w:rFonts w:hint="eastAsia" w:ascii="宋体" w:hAnsi="宋体" w:eastAsia="宋体" w:cs="宋体"/>
                <w:sz w:val="21"/>
                <w:szCs w:val="21"/>
                <w:highlight w:val="none"/>
                <w:lang w:val="en-US" w:eastAsia="zh-CN"/>
              </w:rPr>
              <w:t>试验检测负责人或试验室主任（包含施工监理工作中的工地试验室试验检测负责人或试验室主任）</w:t>
            </w:r>
            <w:r>
              <w:rPr>
                <w:rFonts w:hint="eastAsia" w:ascii="宋体" w:hAnsi="宋体" w:eastAsia="宋体" w:cs="宋体"/>
                <w:sz w:val="21"/>
                <w:szCs w:val="21"/>
                <w:highlight w:val="none"/>
              </w:rPr>
              <w:t>任职经历加</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分，最多加1</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w:t>
            </w:r>
          </w:p>
        </w:tc>
      </w:tr>
      <w:tr w14:paraId="10F0E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noWrap w:val="0"/>
            <w:vAlign w:val="center"/>
          </w:tcPr>
          <w:p w14:paraId="2058036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2.2.4（3）</w:t>
            </w:r>
          </w:p>
        </w:tc>
        <w:tc>
          <w:tcPr>
            <w:tcW w:w="1110" w:type="dxa"/>
            <w:gridSpan w:val="2"/>
            <w:noWrap w:val="0"/>
            <w:vAlign w:val="center"/>
          </w:tcPr>
          <w:p w14:paraId="1D757CE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评标价</w:t>
            </w:r>
          </w:p>
        </w:tc>
        <w:tc>
          <w:tcPr>
            <w:tcW w:w="1140" w:type="dxa"/>
            <w:noWrap w:val="0"/>
            <w:vAlign w:val="center"/>
          </w:tcPr>
          <w:p w14:paraId="15D80D9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10</w:t>
            </w:r>
            <w:r>
              <w:rPr>
                <w:rFonts w:hint="eastAsia" w:ascii="宋体" w:hAnsi="宋体" w:eastAsia="宋体" w:cs="宋体"/>
                <w:sz w:val="21"/>
                <w:szCs w:val="21"/>
                <w:highlight w:val="none"/>
              </w:rPr>
              <w:t>分</w:t>
            </w:r>
          </w:p>
        </w:tc>
        <w:tc>
          <w:tcPr>
            <w:tcW w:w="6437" w:type="dxa"/>
            <w:gridSpan w:val="3"/>
            <w:noWrap w:val="0"/>
            <w:vAlign w:val="top"/>
          </w:tcPr>
          <w:p w14:paraId="2FFAFD56">
            <w:pPr>
              <w:keepNext w:val="0"/>
              <w:keepLines w:val="0"/>
              <w:pageBreakBefore w:val="0"/>
              <w:kinsoku/>
              <w:wordWrap/>
              <w:overflowPunct/>
              <w:topLinePunct w:val="0"/>
              <w:autoSpaceDE/>
              <w:autoSpaceDN/>
              <w:bidi w:val="0"/>
              <w:adjustRightInd/>
              <w:snapToGrid/>
              <w:spacing w:line="360" w:lineRule="exact"/>
              <w:ind w:right="11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评标价得分计算公式示例：</w:t>
            </w:r>
          </w:p>
          <w:p w14:paraId="24426DE0">
            <w:pPr>
              <w:keepNext w:val="0"/>
              <w:keepLines w:val="0"/>
              <w:pageBreakBefore w:val="0"/>
              <w:kinsoku/>
              <w:wordWrap/>
              <w:overflowPunct/>
              <w:topLinePunct w:val="0"/>
              <w:autoSpaceDE/>
              <w:autoSpaceDN/>
              <w:bidi w:val="0"/>
              <w:adjustRightInd/>
              <w:snapToGrid/>
              <w:spacing w:line="360" w:lineRule="exact"/>
              <w:ind w:right="11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（1）如果投标人的评标价＞评标基准价，则评标价得分＝F－偏差率×100×E1；</w:t>
            </w:r>
          </w:p>
          <w:p w14:paraId="1E45BDE4">
            <w:pPr>
              <w:keepNext w:val="0"/>
              <w:keepLines w:val="0"/>
              <w:pageBreakBefore w:val="0"/>
              <w:kinsoku/>
              <w:wordWrap/>
              <w:overflowPunct/>
              <w:topLinePunct w:val="0"/>
              <w:autoSpaceDE/>
              <w:autoSpaceDN/>
              <w:bidi w:val="0"/>
              <w:adjustRightInd/>
              <w:snapToGrid/>
              <w:spacing w:line="360" w:lineRule="exact"/>
              <w:ind w:right="11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（2）如果投标人的评标价≤评标基准价，则评标价得分＝F＋偏差率×100×E2。</w:t>
            </w:r>
          </w:p>
          <w:p w14:paraId="55DE0BC4">
            <w:pPr>
              <w:keepNext w:val="0"/>
              <w:keepLines w:val="0"/>
              <w:pageBreakBefore w:val="0"/>
              <w:kinsoku/>
              <w:wordWrap/>
              <w:overflowPunct/>
              <w:topLinePunct w:val="0"/>
              <w:autoSpaceDE/>
              <w:autoSpaceDN/>
              <w:bidi w:val="0"/>
              <w:adjustRightInd/>
              <w:snapToGrid/>
              <w:spacing w:line="360" w:lineRule="exact"/>
              <w:ind w:right="11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式中：F=10，E1=0.2，E2=0.1。</w:t>
            </w:r>
          </w:p>
          <w:p w14:paraId="7109CB42">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其中：F是评标价所占的权重分值，E1是评标价每高于评标基准价一个百分点的扣分值，E2是评标价每低于评标基准价一个百分点的扣分值。评标价得分保留两位小数，小数点后第三位“四舍五入”。</w:t>
            </w:r>
          </w:p>
        </w:tc>
      </w:tr>
      <w:tr w14:paraId="65225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19" w:type="dxa"/>
            <w:vMerge w:val="restart"/>
            <w:noWrap w:val="0"/>
            <w:vAlign w:val="center"/>
          </w:tcPr>
          <w:p w14:paraId="11AB7F7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2.2.4（4）</w:t>
            </w:r>
          </w:p>
        </w:tc>
        <w:tc>
          <w:tcPr>
            <w:tcW w:w="558" w:type="dxa"/>
            <w:vMerge w:val="restart"/>
            <w:noWrap w:val="0"/>
            <w:vAlign w:val="center"/>
          </w:tcPr>
          <w:p w14:paraId="610047F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其他因素</w:t>
            </w:r>
          </w:p>
        </w:tc>
        <w:tc>
          <w:tcPr>
            <w:tcW w:w="552" w:type="dxa"/>
            <w:vMerge w:val="restart"/>
            <w:noWrap w:val="0"/>
            <w:vAlign w:val="center"/>
          </w:tcPr>
          <w:p w14:paraId="5861BAA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业绩</w:t>
            </w:r>
          </w:p>
        </w:tc>
        <w:tc>
          <w:tcPr>
            <w:tcW w:w="1140" w:type="dxa"/>
            <w:vMerge w:val="restart"/>
            <w:noWrap w:val="0"/>
            <w:vAlign w:val="center"/>
          </w:tcPr>
          <w:p w14:paraId="4F97025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2</w:t>
            </w:r>
            <w:r>
              <w:rPr>
                <w:rFonts w:hint="eastAsia" w:ascii="宋体" w:hAnsi="宋体" w:eastAsia="宋体" w:cs="宋体"/>
                <w:sz w:val="21"/>
                <w:szCs w:val="21"/>
                <w:highlight w:val="none"/>
                <w:u w:val="single"/>
                <w:lang w:val="en-US" w:eastAsia="zh-CN"/>
              </w:rPr>
              <w:t>5</w:t>
            </w:r>
            <w:r>
              <w:rPr>
                <w:rFonts w:hint="eastAsia" w:ascii="宋体" w:hAnsi="宋体" w:eastAsia="宋体" w:cs="宋体"/>
                <w:sz w:val="21"/>
                <w:szCs w:val="21"/>
                <w:highlight w:val="none"/>
              </w:rPr>
              <w:t>分</w:t>
            </w:r>
          </w:p>
        </w:tc>
        <w:tc>
          <w:tcPr>
            <w:tcW w:w="2133" w:type="dxa"/>
            <w:vMerge w:val="restart"/>
            <w:noWrap w:val="0"/>
            <w:vAlign w:val="center"/>
          </w:tcPr>
          <w:p w14:paraId="329DDD1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近年</w:t>
            </w:r>
            <w:r>
              <w:rPr>
                <w:rFonts w:hint="eastAsia" w:ascii="宋体" w:hAnsi="宋体" w:eastAsia="宋体" w:cs="宋体"/>
                <w:sz w:val="21"/>
                <w:szCs w:val="21"/>
                <w:highlight w:val="none"/>
              </w:rPr>
              <w:t>内</w:t>
            </w:r>
            <w:r>
              <w:rPr>
                <w:rFonts w:hint="eastAsia" w:ascii="宋体" w:hAnsi="宋体" w:eastAsia="宋体" w:cs="宋体"/>
                <w:sz w:val="21"/>
                <w:szCs w:val="21"/>
                <w:highlight w:val="none"/>
                <w:lang w:val="en-US" w:eastAsia="zh-CN"/>
              </w:rPr>
              <w:t>承担</w:t>
            </w:r>
            <w:r>
              <w:rPr>
                <w:rFonts w:hint="eastAsia" w:ascii="宋体" w:hAnsi="宋体" w:eastAsia="宋体" w:cs="宋体"/>
                <w:sz w:val="21"/>
                <w:szCs w:val="21"/>
                <w:highlight w:val="none"/>
              </w:rPr>
              <w:t>过的项目</w:t>
            </w:r>
          </w:p>
        </w:tc>
        <w:tc>
          <w:tcPr>
            <w:tcW w:w="777" w:type="dxa"/>
            <w:noWrap w:val="0"/>
            <w:vAlign w:val="center"/>
          </w:tcPr>
          <w:p w14:paraId="35133F5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1</w:t>
            </w:r>
            <w:r>
              <w:rPr>
                <w:rFonts w:hint="eastAsia" w:ascii="宋体" w:hAnsi="宋体" w:eastAsia="宋体" w:cs="宋体"/>
                <w:sz w:val="21"/>
                <w:szCs w:val="21"/>
                <w:highlight w:val="none"/>
                <w:u w:val="single"/>
                <w:lang w:val="en-US" w:eastAsia="zh-CN"/>
              </w:rPr>
              <w:t>5</w:t>
            </w:r>
            <w:r>
              <w:rPr>
                <w:rFonts w:hint="eastAsia" w:ascii="宋体" w:hAnsi="宋体" w:eastAsia="宋体" w:cs="宋体"/>
                <w:sz w:val="21"/>
                <w:szCs w:val="21"/>
                <w:highlight w:val="none"/>
              </w:rPr>
              <w:t>分</w:t>
            </w:r>
          </w:p>
        </w:tc>
        <w:tc>
          <w:tcPr>
            <w:tcW w:w="3527" w:type="dxa"/>
            <w:noWrap w:val="0"/>
            <w:vAlign w:val="center"/>
          </w:tcPr>
          <w:p w14:paraId="688CFEBB">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投标人通过初步评审得1</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w:t>
            </w:r>
          </w:p>
        </w:tc>
      </w:tr>
      <w:tr w14:paraId="6553E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9" w:type="dxa"/>
            <w:vMerge w:val="continue"/>
            <w:noWrap w:val="0"/>
            <w:vAlign w:val="center"/>
          </w:tcPr>
          <w:p w14:paraId="07F0584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p>
        </w:tc>
        <w:tc>
          <w:tcPr>
            <w:tcW w:w="558" w:type="dxa"/>
            <w:vMerge w:val="continue"/>
            <w:noWrap w:val="0"/>
            <w:vAlign w:val="center"/>
          </w:tcPr>
          <w:p w14:paraId="1EA7FE1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p>
        </w:tc>
        <w:tc>
          <w:tcPr>
            <w:tcW w:w="552" w:type="dxa"/>
            <w:vMerge w:val="continue"/>
            <w:noWrap w:val="0"/>
            <w:vAlign w:val="center"/>
          </w:tcPr>
          <w:p w14:paraId="1600845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p>
        </w:tc>
        <w:tc>
          <w:tcPr>
            <w:tcW w:w="1140" w:type="dxa"/>
            <w:vMerge w:val="continue"/>
            <w:noWrap w:val="0"/>
            <w:vAlign w:val="center"/>
          </w:tcPr>
          <w:p w14:paraId="2DB872D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p>
        </w:tc>
        <w:tc>
          <w:tcPr>
            <w:tcW w:w="2133" w:type="dxa"/>
            <w:vMerge w:val="continue"/>
            <w:noWrap w:val="0"/>
            <w:vAlign w:val="top"/>
          </w:tcPr>
          <w:p w14:paraId="319B3357">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highlight w:val="none"/>
              </w:rPr>
            </w:pPr>
          </w:p>
        </w:tc>
        <w:tc>
          <w:tcPr>
            <w:tcW w:w="777" w:type="dxa"/>
            <w:noWrap w:val="0"/>
            <w:vAlign w:val="center"/>
          </w:tcPr>
          <w:p w14:paraId="7876847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lang w:val="en-US" w:eastAsia="zh-CN"/>
              </w:rPr>
              <w:t>10</w:t>
            </w:r>
            <w:r>
              <w:rPr>
                <w:rFonts w:hint="eastAsia" w:ascii="宋体" w:hAnsi="宋体" w:eastAsia="宋体" w:cs="宋体"/>
                <w:sz w:val="21"/>
                <w:szCs w:val="21"/>
                <w:highlight w:val="none"/>
              </w:rPr>
              <w:t>分</w:t>
            </w:r>
          </w:p>
        </w:tc>
        <w:tc>
          <w:tcPr>
            <w:tcW w:w="3527" w:type="dxa"/>
            <w:noWrap w:val="0"/>
            <w:vAlign w:val="top"/>
          </w:tcPr>
          <w:p w14:paraId="55F1FA66">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202</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年1月1日以后每</w:t>
            </w:r>
            <w:r>
              <w:rPr>
                <w:rFonts w:hint="eastAsia" w:ascii="宋体" w:hAnsi="宋体" w:eastAsia="宋体" w:cs="宋体"/>
                <w:sz w:val="21"/>
                <w:szCs w:val="21"/>
                <w:highlight w:val="none"/>
                <w:lang w:val="en-US" w:eastAsia="zh-CN"/>
              </w:rPr>
              <w:t>提供1项高速</w:t>
            </w:r>
            <w:r>
              <w:rPr>
                <w:rFonts w:hint="eastAsia" w:ascii="宋体" w:hAnsi="宋体" w:eastAsia="宋体" w:cs="宋体"/>
                <w:sz w:val="21"/>
                <w:szCs w:val="21"/>
                <w:highlight w:val="none"/>
              </w:rPr>
              <w:t>公路</w:t>
            </w:r>
            <w:r>
              <w:rPr>
                <w:rFonts w:hint="eastAsia" w:ascii="宋体" w:hAnsi="宋体" w:eastAsia="宋体" w:cs="宋体"/>
                <w:sz w:val="21"/>
                <w:szCs w:val="21"/>
                <w:highlight w:val="none"/>
                <w:lang w:val="en-US" w:eastAsia="zh-CN"/>
              </w:rPr>
              <w:t>或一级公路沥青混凝土路面新、改扩建工程或养护工程</w:t>
            </w:r>
            <w:r>
              <w:rPr>
                <w:rFonts w:hint="eastAsia" w:ascii="宋体" w:hAnsi="宋体" w:eastAsia="宋体" w:cs="宋体"/>
                <w:sz w:val="21"/>
                <w:szCs w:val="21"/>
                <w:highlight w:val="none"/>
              </w:rPr>
              <w:t>的</w:t>
            </w:r>
            <w:r>
              <w:rPr>
                <w:rFonts w:hint="eastAsia" w:ascii="宋体" w:hAnsi="宋体" w:eastAsia="宋体" w:cs="宋体"/>
                <w:sz w:val="21"/>
                <w:szCs w:val="21"/>
                <w:highlight w:val="none"/>
                <w:lang w:val="en-US" w:eastAsia="zh-CN"/>
              </w:rPr>
              <w:t>中心试验室试验检测（包含施工监理工作中的工地试验室试验检测）</w:t>
            </w:r>
            <w:r>
              <w:rPr>
                <w:rFonts w:hint="eastAsia" w:ascii="宋体" w:hAnsi="宋体" w:eastAsia="宋体" w:cs="宋体"/>
                <w:sz w:val="21"/>
                <w:szCs w:val="21"/>
                <w:highlight w:val="none"/>
              </w:rPr>
              <w:t>业绩加</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分，最多加</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p>
          <w:p w14:paraId="5297F76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注：以交工时间（或业绩委托方出具证明材料中的完成时间）为准。</w:t>
            </w:r>
          </w:p>
        </w:tc>
      </w:tr>
      <w:tr w14:paraId="34CAB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606" w:type="dxa"/>
            <w:gridSpan w:val="7"/>
            <w:noWrap w:val="0"/>
            <w:vAlign w:val="center"/>
          </w:tcPr>
          <w:p w14:paraId="7119C01F">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需要补充的其他内容：</w:t>
            </w:r>
            <w:r>
              <w:rPr>
                <w:rFonts w:hint="eastAsia" w:ascii="宋体" w:hAnsi="宋体" w:eastAsia="宋体" w:cs="宋体"/>
                <w:b/>
                <w:bCs/>
                <w:sz w:val="21"/>
                <w:szCs w:val="21"/>
                <w:highlight w:val="none"/>
              </w:rPr>
              <w:t>投标文件的技术建议书部分采用“暗标”形式，如果技术建议书出现能识别投标人的内容，经评标委员会确定后，将否决其投标。</w:t>
            </w:r>
          </w:p>
        </w:tc>
      </w:tr>
    </w:tbl>
    <w:p w14:paraId="4360F9F3">
      <w:pPr>
        <w:keepLines w:val="0"/>
        <w:kinsoku/>
        <w:wordWrap/>
        <w:overflowPunct/>
        <w:topLinePunct w:val="0"/>
        <w:bidi w:val="0"/>
        <w:spacing w:line="360" w:lineRule="exact"/>
        <w:ind w:right="420"/>
        <w:jc w:val="left"/>
        <w:textAlignment w:val="auto"/>
        <w:rPr>
          <w:rFonts w:hint="eastAsia" w:ascii="宋体" w:hAnsi="宋体" w:eastAsia="宋体" w:cs="宋体"/>
          <w:b/>
          <w:sz w:val="21"/>
          <w:szCs w:val="21"/>
        </w:rPr>
      </w:pPr>
      <w:r>
        <w:rPr>
          <w:rFonts w:hint="eastAsia" w:ascii="宋体" w:hAnsi="宋体" w:eastAsia="宋体" w:cs="宋体"/>
          <w:b/>
          <w:sz w:val="21"/>
          <w:szCs w:val="21"/>
        </w:rPr>
        <w:t>四、联系方式</w:t>
      </w:r>
    </w:p>
    <w:p w14:paraId="3A0F70F9">
      <w:pPr>
        <w:keepNext w:val="0"/>
        <w:keepLines w:val="0"/>
        <w:pageBreakBefore w:val="0"/>
        <w:widowControl w:val="0"/>
        <w:tabs>
          <w:tab w:val="left" w:leader="underscore" w:pos="3942"/>
          <w:tab w:val="left" w:leader="underscore" w:pos="7066"/>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0"/>
          <w:sz w:val="21"/>
          <w:szCs w:val="21"/>
          <w:highlight w:val="none"/>
          <w:lang w:val="zh-CN" w:eastAsia="zh-CN" w:bidi="zh-CN"/>
        </w:rPr>
      </w:pPr>
      <w:r>
        <w:rPr>
          <w:rFonts w:hint="eastAsia" w:ascii="宋体" w:hAnsi="宋体" w:eastAsia="宋体" w:cs="宋体"/>
          <w:color w:val="auto"/>
          <w:kern w:val="0"/>
          <w:sz w:val="21"/>
          <w:szCs w:val="21"/>
          <w:highlight w:val="none"/>
          <w:lang w:val="zh-CN" w:bidi="zh-CN"/>
        </w:rPr>
        <w:t>招 标 人：</w:t>
      </w:r>
      <w:r>
        <w:rPr>
          <w:rFonts w:hint="eastAsia" w:ascii="宋体" w:hAnsi="宋体" w:eastAsia="宋体" w:cs="宋体"/>
          <w:color w:val="auto"/>
          <w:sz w:val="21"/>
          <w:szCs w:val="21"/>
          <w:highlight w:val="none"/>
          <w:lang w:eastAsia="zh-CN"/>
        </w:rPr>
        <w:t>白城市公路管理处</w:t>
      </w:r>
    </w:p>
    <w:p w14:paraId="3CCC7CCA">
      <w:pPr>
        <w:keepNext w:val="0"/>
        <w:keepLines w:val="0"/>
        <w:pageBreakBefore w:val="0"/>
        <w:widowControl w:val="0"/>
        <w:tabs>
          <w:tab w:val="left" w:leader="underscore" w:pos="3942"/>
          <w:tab w:val="left" w:leader="underscore" w:pos="7066"/>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0"/>
          <w:sz w:val="21"/>
          <w:szCs w:val="21"/>
          <w:highlight w:val="none"/>
          <w:lang w:val="zh-CN" w:eastAsia="zh-CN" w:bidi="zh-CN"/>
        </w:rPr>
      </w:pPr>
      <w:r>
        <w:rPr>
          <w:rFonts w:hint="eastAsia" w:ascii="宋体" w:hAnsi="宋体" w:eastAsia="宋体" w:cs="宋体"/>
          <w:color w:val="auto"/>
          <w:kern w:val="0"/>
          <w:sz w:val="21"/>
          <w:szCs w:val="21"/>
          <w:highlight w:val="none"/>
          <w:lang w:val="zh-CN" w:bidi="zh-CN"/>
        </w:rPr>
        <w:t>地    址：</w:t>
      </w:r>
      <w:r>
        <w:rPr>
          <w:rFonts w:hint="eastAsia" w:ascii="宋体" w:hAnsi="宋体" w:eastAsia="宋体" w:cs="宋体"/>
          <w:i w:val="0"/>
          <w:iCs w:val="0"/>
          <w:caps w:val="0"/>
          <w:color w:val="000000"/>
          <w:spacing w:val="0"/>
          <w:sz w:val="21"/>
          <w:szCs w:val="21"/>
          <w:shd w:val="clear" w:fill="FFFFFF"/>
          <w:lang w:eastAsia="zh-CN"/>
        </w:rPr>
        <w:t>白城市青年南大街7号</w:t>
      </w:r>
    </w:p>
    <w:p w14:paraId="5E41182E">
      <w:pPr>
        <w:keepNext w:val="0"/>
        <w:keepLines w:val="0"/>
        <w:pageBreakBefore w:val="0"/>
        <w:widowControl w:val="0"/>
        <w:tabs>
          <w:tab w:val="left" w:leader="underscore" w:pos="3942"/>
          <w:tab w:val="left" w:leader="underscore" w:pos="7066"/>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0"/>
          <w:sz w:val="21"/>
          <w:szCs w:val="21"/>
          <w:highlight w:val="none"/>
          <w:lang w:val="en-US" w:bidi="zh-CN"/>
        </w:rPr>
      </w:pPr>
      <w:r>
        <w:rPr>
          <w:rFonts w:hint="eastAsia" w:ascii="宋体" w:hAnsi="宋体" w:eastAsia="宋体" w:cs="宋体"/>
          <w:color w:val="auto"/>
          <w:kern w:val="0"/>
          <w:sz w:val="21"/>
          <w:szCs w:val="21"/>
          <w:highlight w:val="none"/>
          <w:lang w:val="zh-CN" w:bidi="zh-CN"/>
        </w:rPr>
        <w:t>联 系 人：</w:t>
      </w:r>
      <w:r>
        <w:rPr>
          <w:rFonts w:hint="eastAsia" w:ascii="宋体" w:hAnsi="宋体" w:eastAsia="宋体" w:cs="宋体"/>
          <w:color w:val="auto"/>
          <w:kern w:val="0"/>
          <w:sz w:val="21"/>
          <w:szCs w:val="21"/>
          <w:highlight w:val="none"/>
          <w:lang w:val="en-US" w:bidi="zh-CN"/>
        </w:rPr>
        <w:t>张宇</w:t>
      </w:r>
    </w:p>
    <w:p w14:paraId="711E0E3E">
      <w:pPr>
        <w:keepLines w:val="0"/>
        <w:kinsoku/>
        <w:wordWrap/>
        <w:overflowPunct/>
        <w:topLinePunct w:val="0"/>
        <w:bidi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color w:val="auto"/>
          <w:kern w:val="0"/>
          <w:sz w:val="21"/>
          <w:szCs w:val="21"/>
          <w:highlight w:val="none"/>
          <w:lang w:val="zh-CN" w:bidi="zh-CN"/>
        </w:rPr>
        <w:t>电    话：</w:t>
      </w:r>
      <w:r>
        <w:rPr>
          <w:rFonts w:hint="eastAsia" w:ascii="宋体" w:hAnsi="宋体" w:eastAsia="宋体" w:cs="宋体"/>
          <w:i w:val="0"/>
          <w:iCs w:val="0"/>
          <w:caps w:val="0"/>
          <w:color w:val="000000"/>
          <w:spacing w:val="0"/>
          <w:sz w:val="21"/>
          <w:szCs w:val="21"/>
          <w:shd w:val="clear" w:fill="FFFFFF"/>
        </w:rPr>
        <w:t>043</w:t>
      </w:r>
      <w:r>
        <w:rPr>
          <w:rFonts w:hint="eastAsia" w:ascii="宋体" w:hAnsi="宋体" w:eastAsia="宋体" w:cs="宋体"/>
          <w:i w:val="0"/>
          <w:iCs w:val="0"/>
          <w:caps w:val="0"/>
          <w:color w:val="000000"/>
          <w:spacing w:val="0"/>
          <w:sz w:val="21"/>
          <w:szCs w:val="21"/>
          <w:shd w:val="clear" w:fill="FFFFFF"/>
          <w:lang w:val="en-US" w:eastAsia="zh-CN"/>
        </w:rPr>
        <w:t>6</w:t>
      </w:r>
      <w:r>
        <w:rPr>
          <w:rFonts w:hint="eastAsia" w:ascii="宋体" w:hAnsi="宋体" w:eastAsia="宋体" w:cs="宋体"/>
          <w:i w:val="0"/>
          <w:iCs w:val="0"/>
          <w:caps w:val="0"/>
          <w:color w:val="000000"/>
          <w:spacing w:val="0"/>
          <w:sz w:val="21"/>
          <w:szCs w:val="21"/>
          <w:shd w:val="clear" w:fill="FFFFFF"/>
        </w:rPr>
        <w:t>-</w:t>
      </w:r>
      <w:r>
        <w:rPr>
          <w:rFonts w:hint="eastAsia" w:ascii="宋体" w:hAnsi="宋体" w:eastAsia="宋体" w:cs="宋体"/>
          <w:i w:val="0"/>
          <w:iCs w:val="0"/>
          <w:caps w:val="0"/>
          <w:color w:val="000000"/>
          <w:spacing w:val="0"/>
          <w:sz w:val="21"/>
          <w:szCs w:val="21"/>
          <w:shd w:val="clear" w:fill="FFFFFF"/>
          <w:lang w:val="en-US" w:eastAsia="zh-CN"/>
        </w:rPr>
        <w:t>3200015</w:t>
      </w:r>
    </w:p>
    <w:sectPr>
      <w:footnotePr>
        <w:numFmt w:val="decimalEnclosedCircleChinese"/>
        <w:numRestart w:val="eachPage"/>
      </w:footnote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David">
    <w:altName w:val="Segoe Print"/>
    <w:panose1 w:val="00000000000000000000"/>
    <w:charset w:val="B1"/>
    <w:family w:val="swiss"/>
    <w:pitch w:val="default"/>
    <w:sig w:usb0="00000000" w:usb1="00000000" w:usb2="00000000" w:usb3="00000000" w:csb0="0000002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Batang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新宋体">
    <w:panose1 w:val="02010609030101010101"/>
    <w:charset w:val="86"/>
    <w:family w:val="auto"/>
    <w:pitch w:val="default"/>
    <w:sig w:usb0="00000283" w:usb1="288F0000" w:usb2="0000000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2">
    <w:p>
      <w:r>
        <w:separator/>
      </w:r>
    </w:p>
  </w:footnote>
  <w:footnote w:type="continuationSeparator" w:id="13">
    <w:p>
      <w:r>
        <w:continuationSeparator/>
      </w:r>
    </w:p>
  </w:footnote>
  <w:footnote w:id="0">
    <w:p w14:paraId="6CADF61D">
      <w:pPr>
        <w:pStyle w:val="10"/>
        <w:rPr>
          <w:rFonts w:ascii="楷体" w:hAnsi="楷体" w:eastAsia="楷体"/>
        </w:rPr>
      </w:pPr>
      <w:r>
        <w:rPr>
          <w:rStyle w:val="13"/>
          <w:rFonts w:ascii="楷体" w:hAnsi="楷体" w:eastAsia="楷体"/>
        </w:rPr>
        <w:footnoteRef/>
      </w:r>
      <w:r>
        <w:rPr>
          <w:rFonts w:ascii="楷体" w:hAnsi="楷体" w:eastAsia="楷体"/>
        </w:rPr>
        <w:t xml:space="preserve"> </w:t>
      </w:r>
      <w:r>
        <w:rPr>
          <w:rFonts w:hint="eastAsia" w:ascii="楷体" w:hAnsi="楷体" w:eastAsia="楷体"/>
        </w:rPr>
        <w:t>本项规定仅适用于根据《关于发布公路工程从业企业资质名录的通知》（厅公路字[2011]114号）要求，招标人应通过名录对投标人资质条件进行审核的公路施工监理企业。</w:t>
      </w:r>
    </w:p>
  </w:footnote>
  <w:footnote w:id="1">
    <w:p w14:paraId="7F338A88">
      <w:pPr>
        <w:pStyle w:val="10"/>
      </w:pPr>
      <w:r>
        <w:rPr>
          <w:rStyle w:val="13"/>
        </w:rPr>
        <w:footnoteRef/>
      </w:r>
      <w:r>
        <w:rPr>
          <w:rFonts w:hint="eastAsia" w:ascii="BatangChe" w:hAnsi="BatangChe"/>
          <w:b/>
        </w:rPr>
        <w:t>“</w:t>
      </w:r>
      <w:r>
        <w:rPr>
          <w:rFonts w:hint="eastAsia" w:ascii="BatangChe" w:hAnsi="BatangChe"/>
          <w:b/>
          <w:spacing w:val="-6"/>
        </w:rPr>
        <w:t>投标人自有人员”</w:t>
      </w:r>
      <w:r>
        <w:rPr>
          <w:rFonts w:hint="eastAsia" w:ascii="BatangChe" w:hAnsi="BatangChe"/>
          <w:spacing w:val="-6"/>
        </w:rPr>
        <w:t>指</w:t>
      </w:r>
      <w:r>
        <w:t>社保缴费证明中</w:t>
      </w:r>
      <w:r>
        <w:rPr>
          <w:rFonts w:hint="eastAsia" w:ascii="宋体" w:hAnsi="宋体"/>
        </w:rPr>
        <w:t>缴费单位与投标人名称一致</w:t>
      </w:r>
      <w:r>
        <w:rPr>
          <w:rFonts w:hint="eastAsia" w:ascii="BatangChe" w:hAnsi="BatangChe"/>
          <w:spacing w:val="-6"/>
        </w:rPr>
        <w:t>。</w:t>
      </w:r>
      <w:r>
        <w:rPr>
          <w:rFonts w:hint="eastAsia" w:ascii="宋体" w:hAnsi="宋体"/>
          <w:color w:val="000000"/>
          <w:lang w:val="zh-CN"/>
        </w:rPr>
        <w:t>如果投标人属事业法人单位，则应提供拟委任的总监理工程师是投标人单位职工的有效书面证明材料。</w:t>
      </w:r>
    </w:p>
  </w:footnote>
  <w:footnote w:id="2">
    <w:p w14:paraId="53B65E8E">
      <w:pPr>
        <w:pStyle w:val="10"/>
      </w:pPr>
      <w:r>
        <w:rPr>
          <w:rStyle w:val="13"/>
        </w:rPr>
        <w:footnoteRef/>
      </w:r>
      <w:r>
        <w:rPr>
          <w:rFonts w:hint="eastAsia" w:ascii="宋体" w:hAnsi="宋体" w:cs="宋体"/>
          <w:lang w:val="zh-CN"/>
        </w:rPr>
        <w:t>公路工程相关专业职称包括公路工程、桥梁工程、公路与桥梁工程、交通土建、隧道（地下结构）工程、交通工程等专业职称。如职称证上无专业，则以毕业证上的专业为准。</w:t>
      </w:r>
    </w:p>
  </w:footnote>
  <w:footnote w:id="3">
    <w:p w14:paraId="63D4A411">
      <w:pPr>
        <w:pStyle w:val="10"/>
      </w:pPr>
      <w:r>
        <w:rPr>
          <w:rStyle w:val="13"/>
          <w:rFonts w:hint="eastAsia" w:ascii="宋体" w:hAnsi="宋体" w:cs="宋体"/>
        </w:rPr>
        <w:footnoteRef/>
      </w:r>
      <w:r>
        <w:rPr>
          <w:rFonts w:hint="eastAsia" w:ascii="宋体" w:hAnsi="宋体" w:cs="宋体"/>
        </w:rPr>
        <w:t>本款规定仅适用于根据《关于发布公路工程从业企业资质名录的通知》（厅公路字[2011]114号）要求，招标人应通过名录</w:t>
      </w:r>
      <w:r>
        <w:rPr>
          <w:rFonts w:hint="eastAsia"/>
        </w:rPr>
        <w:t>对投标人资质条件进行审核的公路施工监理企业。</w:t>
      </w:r>
    </w:p>
  </w:footnote>
  <w:footnote w:id="4">
    <w:p w14:paraId="4CDA9272">
      <w:pPr>
        <w:pStyle w:val="10"/>
      </w:pPr>
      <w:r>
        <w:rPr>
          <w:rStyle w:val="13"/>
        </w:rPr>
        <w:footnoteRef/>
      </w:r>
      <w:r>
        <w:t>各评分因素（评标价和履约信誉评分项除外）得分一般不得低于其权重分值的60%，且各评分因素得分应以评标委员会各成员的打分平均值确定，分数保留两位小数</w:t>
      </w:r>
      <w:r>
        <w:rPr>
          <w:rFonts w:hint="eastAsia"/>
        </w:rPr>
        <w:t>。</w:t>
      </w:r>
      <w:r>
        <w:t>评标委员会成员总数为7人以上时，该平均值以去掉一个最高分和一个最低分后计算。评标委员会成员对某一项评分因素的评分低于权重分值60%的，应在评标报告中作出说明。</w:t>
      </w:r>
    </w:p>
  </w:footnote>
  <w:footnote w:id="5">
    <w:p w14:paraId="193A2754">
      <w:pPr>
        <w:pStyle w:val="10"/>
      </w:pPr>
      <w:r>
        <w:rPr>
          <w:rStyle w:val="13"/>
        </w:rPr>
        <w:footnoteRef/>
      </w:r>
      <w:r>
        <w:t>各评分因素（评标价和履约信誉评分项除外）得分一般不得低于其权重分值的60%，且各评分因素得分应以评标委员会各成员的打分平均值确定，分数保留两位小数</w:t>
      </w:r>
      <w:r>
        <w:rPr>
          <w:rFonts w:hint="eastAsia"/>
        </w:rPr>
        <w:t>。</w:t>
      </w:r>
      <w:r>
        <w:t>评标委员会成员总数为7人以上时，该平均值以去掉一个最高分和一个最低分后计算。评标委员会成员对某一项评分因素的评分低于权重分值60%的，应在评标报告中作出说明。</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numFmt w:val="decimalEnclosedCircleChinese"/>
    <w:numRestart w:val="eachPage"/>
    <w:footnote w:id="12"/>
    <w:footnote w:id="13"/>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NlNmJhZWI0ZDJmODFjNDMwOTU5MGVmZDE2YzJmMjgifQ=="/>
  </w:docVars>
  <w:rsids>
    <w:rsidRoot w:val="00DE1914"/>
    <w:rsid w:val="00007D0D"/>
    <w:rsid w:val="00055983"/>
    <w:rsid w:val="000C7FFE"/>
    <w:rsid w:val="000D45D8"/>
    <w:rsid w:val="00150308"/>
    <w:rsid w:val="0016649D"/>
    <w:rsid w:val="001C5264"/>
    <w:rsid w:val="001D5135"/>
    <w:rsid w:val="001D61F8"/>
    <w:rsid w:val="001F4B00"/>
    <w:rsid w:val="001F767C"/>
    <w:rsid w:val="00250688"/>
    <w:rsid w:val="002B6B2C"/>
    <w:rsid w:val="00316C16"/>
    <w:rsid w:val="003171A3"/>
    <w:rsid w:val="0037455E"/>
    <w:rsid w:val="003C3184"/>
    <w:rsid w:val="003E1571"/>
    <w:rsid w:val="00530DB1"/>
    <w:rsid w:val="00562C9D"/>
    <w:rsid w:val="005C0428"/>
    <w:rsid w:val="00613EFF"/>
    <w:rsid w:val="00643E44"/>
    <w:rsid w:val="00694415"/>
    <w:rsid w:val="006A39C9"/>
    <w:rsid w:val="006C28DA"/>
    <w:rsid w:val="0072686E"/>
    <w:rsid w:val="00786838"/>
    <w:rsid w:val="008715DB"/>
    <w:rsid w:val="00873F02"/>
    <w:rsid w:val="00893B6D"/>
    <w:rsid w:val="008E2951"/>
    <w:rsid w:val="008E6FE1"/>
    <w:rsid w:val="009A086D"/>
    <w:rsid w:val="009B01BC"/>
    <w:rsid w:val="009D3B6D"/>
    <w:rsid w:val="00A73217"/>
    <w:rsid w:val="00AB197A"/>
    <w:rsid w:val="00AB5898"/>
    <w:rsid w:val="00B77B1E"/>
    <w:rsid w:val="00BB6447"/>
    <w:rsid w:val="00BE0105"/>
    <w:rsid w:val="00BF0284"/>
    <w:rsid w:val="00C15CD1"/>
    <w:rsid w:val="00C40C09"/>
    <w:rsid w:val="00CA2765"/>
    <w:rsid w:val="00CA3A18"/>
    <w:rsid w:val="00CC109B"/>
    <w:rsid w:val="00D43D36"/>
    <w:rsid w:val="00D57E3A"/>
    <w:rsid w:val="00DC39DC"/>
    <w:rsid w:val="00DE1914"/>
    <w:rsid w:val="00DF2D8E"/>
    <w:rsid w:val="00E16787"/>
    <w:rsid w:val="00E7408A"/>
    <w:rsid w:val="00EA5385"/>
    <w:rsid w:val="00F242F5"/>
    <w:rsid w:val="00F641C5"/>
    <w:rsid w:val="00F76FA4"/>
    <w:rsid w:val="00FC5FAE"/>
    <w:rsid w:val="00FD038E"/>
    <w:rsid w:val="00FF554C"/>
    <w:rsid w:val="17922A5F"/>
    <w:rsid w:val="5D4C2DFB"/>
    <w:rsid w:val="6623322B"/>
    <w:rsid w:val="7CED6A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3"/>
    <w:basedOn w:val="1"/>
    <w:next w:val="1"/>
    <w:qFormat/>
    <w:uiPriority w:val="99"/>
    <w:pPr>
      <w:keepNext/>
      <w:keepLines/>
      <w:spacing w:before="260" w:after="260" w:line="416" w:lineRule="auto"/>
      <w:outlineLvl w:val="2"/>
    </w:pPr>
    <w:rPr>
      <w:b/>
      <w:bCs/>
      <w:kern w:val="0"/>
      <w:sz w:val="32"/>
      <w:szCs w:val="32"/>
    </w:rPr>
  </w:style>
  <w:style w:type="character" w:default="1" w:styleId="12">
    <w:name w:val="Default Paragraph Font"/>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line="312" w:lineRule="auto"/>
      <w:ind w:firstLine="420"/>
    </w:pPr>
    <w:rPr>
      <w:rFonts w:ascii="Calibri" w:hAnsi="Calibri"/>
    </w:rPr>
  </w:style>
  <w:style w:type="paragraph" w:styleId="3">
    <w:name w:val="Body Text"/>
    <w:basedOn w:val="1"/>
    <w:qFormat/>
    <w:uiPriority w:val="99"/>
    <w:rPr>
      <w:sz w:val="28"/>
      <w:szCs w:val="24"/>
    </w:rPr>
  </w:style>
  <w:style w:type="paragraph" w:styleId="5">
    <w:name w:val="Body Text Indent"/>
    <w:basedOn w:val="1"/>
    <w:next w:val="6"/>
    <w:link w:val="28"/>
    <w:qFormat/>
    <w:uiPriority w:val="99"/>
    <w:pPr>
      <w:ind w:firstLine="1120" w:firstLineChars="400"/>
    </w:pPr>
    <w:rPr>
      <w:rFonts w:ascii="Times New Roman" w:hAnsi="Times New Roman" w:eastAsia="宋体" w:cs="Times New Roman"/>
      <w:sz w:val="28"/>
      <w:szCs w:val="24"/>
    </w:rPr>
  </w:style>
  <w:style w:type="paragraph" w:styleId="6">
    <w:name w:val="Body Text Indent 2"/>
    <w:basedOn w:val="1"/>
    <w:link w:val="29"/>
    <w:semiHidden/>
    <w:unhideWhenUsed/>
    <w:qFormat/>
    <w:uiPriority w:val="99"/>
    <w:pPr>
      <w:spacing w:after="120" w:line="480" w:lineRule="auto"/>
      <w:ind w:left="420" w:leftChars="200"/>
    </w:pPr>
  </w:style>
  <w:style w:type="paragraph" w:styleId="7">
    <w:name w:val="Plain Text"/>
    <w:basedOn w:val="1"/>
    <w:link w:val="30"/>
    <w:qFormat/>
    <w:uiPriority w:val="99"/>
    <w:rPr>
      <w:rFonts w:ascii="宋体" w:hAnsi="Courier New" w:eastAsia="宋体" w:cs="Times New Roman"/>
      <w:szCs w:val="21"/>
    </w:rPr>
  </w:style>
  <w:style w:type="paragraph" w:styleId="8">
    <w:name w:val="footer"/>
    <w:basedOn w:val="1"/>
    <w:link w:val="24"/>
    <w:autoRedefine/>
    <w:unhideWhenUsed/>
    <w:qFormat/>
    <w:uiPriority w:val="99"/>
    <w:pPr>
      <w:tabs>
        <w:tab w:val="center" w:pos="4153"/>
        <w:tab w:val="right" w:pos="8306"/>
      </w:tabs>
      <w:snapToGrid w:val="0"/>
      <w:jc w:val="left"/>
    </w:pPr>
    <w:rPr>
      <w:sz w:val="18"/>
      <w:szCs w:val="18"/>
    </w:rPr>
  </w:style>
  <w:style w:type="paragraph" w:styleId="9">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link w:val="16"/>
    <w:autoRedefine/>
    <w:unhideWhenUsed/>
    <w:qFormat/>
    <w:uiPriority w:val="0"/>
    <w:pPr>
      <w:snapToGrid w:val="0"/>
      <w:jc w:val="left"/>
    </w:pPr>
    <w:rPr>
      <w:rFonts w:ascii="Times New Roman" w:hAnsi="Times New Roman" w:eastAsia="宋体" w:cs="Times New Roman"/>
      <w:kern w:val="0"/>
      <w:sz w:val="18"/>
      <w:szCs w:val="18"/>
    </w:rPr>
  </w:style>
  <w:style w:type="character" w:styleId="13">
    <w:name w:val="footnote reference"/>
    <w:autoRedefine/>
    <w:qFormat/>
    <w:uiPriority w:val="0"/>
    <w:rPr>
      <w:vertAlign w:val="superscript"/>
    </w:rPr>
  </w:style>
  <w:style w:type="character" w:customStyle="1" w:styleId="14">
    <w:name w:val="其他_"/>
    <w:link w:val="15"/>
    <w:qFormat/>
    <w:uiPriority w:val="0"/>
    <w:rPr>
      <w:rFonts w:ascii="宋体" w:hAnsi="宋体" w:cs="宋体"/>
      <w:shd w:val="clear" w:color="auto" w:fill="FFFFFF"/>
      <w:lang w:val="zh-CN" w:bidi="zh-CN"/>
    </w:rPr>
  </w:style>
  <w:style w:type="paragraph" w:customStyle="1" w:styleId="15">
    <w:name w:val="其他"/>
    <w:basedOn w:val="1"/>
    <w:link w:val="14"/>
    <w:autoRedefine/>
    <w:qFormat/>
    <w:uiPriority w:val="0"/>
    <w:pPr>
      <w:shd w:val="clear" w:color="auto" w:fill="FFFFFF"/>
      <w:spacing w:line="430" w:lineRule="auto"/>
      <w:ind w:firstLine="400"/>
      <w:jc w:val="distribute"/>
    </w:pPr>
    <w:rPr>
      <w:rFonts w:ascii="宋体" w:hAnsi="宋体" w:cs="宋体"/>
      <w:lang w:val="zh-CN" w:bidi="zh-CN"/>
    </w:rPr>
  </w:style>
  <w:style w:type="character" w:customStyle="1" w:styleId="16">
    <w:name w:val="脚注文本 字符"/>
    <w:basedOn w:val="12"/>
    <w:link w:val="10"/>
    <w:qFormat/>
    <w:uiPriority w:val="0"/>
    <w:rPr>
      <w:rFonts w:ascii="Times New Roman" w:hAnsi="Times New Roman" w:eastAsia="宋体" w:cs="Times New Roman"/>
      <w:kern w:val="0"/>
      <w:sz w:val="18"/>
      <w:szCs w:val="18"/>
    </w:rPr>
  </w:style>
  <w:style w:type="character" w:customStyle="1" w:styleId="17">
    <w:name w:val="正文文本 (2)_"/>
    <w:link w:val="18"/>
    <w:autoRedefine/>
    <w:qFormat/>
    <w:uiPriority w:val="0"/>
    <w:rPr>
      <w:rFonts w:ascii="宋体" w:hAnsi="宋体" w:cs="宋体"/>
      <w:sz w:val="22"/>
      <w:shd w:val="clear" w:color="auto" w:fill="FFFFFF"/>
    </w:rPr>
  </w:style>
  <w:style w:type="paragraph" w:customStyle="1" w:styleId="18">
    <w:name w:val="正文文本 (2)"/>
    <w:basedOn w:val="1"/>
    <w:link w:val="17"/>
    <w:autoRedefine/>
    <w:qFormat/>
    <w:uiPriority w:val="0"/>
    <w:pPr>
      <w:shd w:val="clear" w:color="auto" w:fill="FFFFFF"/>
      <w:spacing w:before="300" w:line="439" w:lineRule="exact"/>
      <w:jc w:val="distribute"/>
    </w:pPr>
    <w:rPr>
      <w:rFonts w:ascii="宋体" w:hAnsi="宋体" w:cs="宋体"/>
      <w:sz w:val="22"/>
    </w:rPr>
  </w:style>
  <w:style w:type="paragraph" w:styleId="19">
    <w:name w:val="List Paragraph"/>
    <w:basedOn w:val="1"/>
    <w:qFormat/>
    <w:uiPriority w:val="34"/>
    <w:pPr>
      <w:ind w:firstLine="420" w:firstLineChars="200"/>
    </w:pPr>
    <w:rPr>
      <w:rFonts w:ascii="Times New Roman" w:hAnsi="Times New Roman" w:eastAsia="宋体" w:cs="Times New Roman"/>
    </w:rPr>
  </w:style>
  <w:style w:type="character" w:customStyle="1" w:styleId="20">
    <w:name w:val="正文文本 (2) + 9.5 pt"/>
    <w:qFormat/>
    <w:uiPriority w:val="0"/>
    <w:rPr>
      <w:rFonts w:ascii="MingLiU" w:hAnsi="MingLiU" w:eastAsia="MingLiU" w:cs="MingLiU"/>
      <w:color w:val="000000"/>
      <w:spacing w:val="0"/>
      <w:w w:val="100"/>
      <w:position w:val="0"/>
      <w:sz w:val="19"/>
      <w:szCs w:val="19"/>
      <w:shd w:val="clear" w:color="auto" w:fill="FFFFFF"/>
      <w:lang w:val="zh-TW" w:eastAsia="zh-TW" w:bidi="zh-TW"/>
    </w:rPr>
  </w:style>
  <w:style w:type="character" w:customStyle="1" w:styleId="21">
    <w:name w:val="正文文本 (2) + 10 pt"/>
    <w:autoRedefine/>
    <w:qFormat/>
    <w:uiPriority w:val="0"/>
    <w:rPr>
      <w:rFonts w:ascii="MingLiU" w:hAnsi="MingLiU" w:eastAsia="MingLiU" w:cs="MingLiU"/>
      <w:b/>
      <w:bCs/>
      <w:color w:val="000000"/>
      <w:spacing w:val="0"/>
      <w:w w:val="100"/>
      <w:position w:val="0"/>
      <w:sz w:val="20"/>
      <w:szCs w:val="20"/>
      <w:u w:val="none"/>
      <w:lang w:val="zh-TW" w:eastAsia="zh-TW" w:bidi="zh-TW"/>
    </w:rPr>
  </w:style>
  <w:style w:type="character" w:customStyle="1" w:styleId="22">
    <w:name w:val="正文文本 (2) + 9 pt"/>
    <w:autoRedefine/>
    <w:qFormat/>
    <w:uiPriority w:val="0"/>
    <w:rPr>
      <w:rFonts w:ascii="MingLiU" w:hAnsi="MingLiU" w:eastAsia="MingLiU" w:cs="MingLiU"/>
      <w:color w:val="000000"/>
      <w:spacing w:val="0"/>
      <w:w w:val="100"/>
      <w:position w:val="0"/>
      <w:sz w:val="18"/>
      <w:szCs w:val="18"/>
      <w:u w:val="none"/>
      <w:shd w:val="clear" w:color="auto" w:fill="FFFFFF"/>
      <w:lang w:val="en-US" w:eastAsia="en-US" w:bidi="en-US"/>
    </w:rPr>
  </w:style>
  <w:style w:type="character" w:customStyle="1" w:styleId="23">
    <w:name w:val="页眉 字符"/>
    <w:basedOn w:val="12"/>
    <w:link w:val="9"/>
    <w:qFormat/>
    <w:uiPriority w:val="99"/>
    <w:rPr>
      <w:sz w:val="18"/>
      <w:szCs w:val="18"/>
    </w:rPr>
  </w:style>
  <w:style w:type="character" w:customStyle="1" w:styleId="24">
    <w:name w:val="页脚 字符"/>
    <w:basedOn w:val="12"/>
    <w:link w:val="8"/>
    <w:autoRedefine/>
    <w:qFormat/>
    <w:uiPriority w:val="99"/>
    <w:rPr>
      <w:sz w:val="18"/>
      <w:szCs w:val="18"/>
    </w:rPr>
  </w:style>
  <w:style w:type="paragraph" w:customStyle="1" w:styleId="25">
    <w:name w:val="MSG_EN_FONT_STYLE_NAME_TEMPLATE_ROLE_NUMBER MSG_EN_FONT_STYLE_NAME_BY_ROLE_TEXT 131"/>
    <w:basedOn w:val="1"/>
    <w:link w:val="31"/>
    <w:autoRedefine/>
    <w:qFormat/>
    <w:uiPriority w:val="0"/>
    <w:pPr>
      <w:shd w:val="clear" w:color="auto" w:fill="FFFFFF"/>
      <w:spacing w:before="340" w:after="160" w:line="398" w:lineRule="exact"/>
      <w:jc w:val="distribute"/>
    </w:pPr>
    <w:rPr>
      <w:rFonts w:ascii="PMingLiU" w:hAnsi="PMingLiU" w:eastAsia="PMingLiU" w:cs="PMingLiU"/>
      <w:kern w:val="0"/>
      <w:sz w:val="20"/>
      <w:szCs w:val="20"/>
    </w:rPr>
  </w:style>
  <w:style w:type="character" w:customStyle="1" w:styleId="26">
    <w:name w:val="MSG_EN_FONT_STYLE_NAME_TEMPLATE_ROLE_NUMBER MSG_EN_FONT_STYLE_NAME_BY_ROLE_TEXT 13 + MSG_EN_FONT_STYLE_MODIFER_SIZE 8.5"/>
    <w:autoRedefine/>
    <w:qFormat/>
    <w:uiPriority w:val="0"/>
    <w:rPr>
      <w:rFonts w:ascii="PMingLiU" w:hAnsi="PMingLiU" w:eastAsia="PMingLiU" w:cs="PMingLiU"/>
      <w:color w:val="000000"/>
      <w:spacing w:val="0"/>
      <w:w w:val="100"/>
      <w:position w:val="0"/>
      <w:sz w:val="17"/>
      <w:szCs w:val="17"/>
      <w:u w:val="none"/>
      <w:shd w:val="clear" w:color="auto" w:fill="FFFFFF"/>
      <w:lang w:val="zh-CN" w:eastAsia="zh-CN" w:bidi="zh-CN"/>
    </w:rPr>
  </w:style>
  <w:style w:type="paragraph" w:customStyle="1" w:styleId="27">
    <w:name w:val="MSG_EN_FONT_STYLE_NAME_TEMPLATE_ROLE_NUMBER MSG_EN_FONT_STYLE_NAME_BY_ROLE_TEXT 5"/>
    <w:basedOn w:val="1"/>
    <w:link w:val="32"/>
    <w:autoRedefine/>
    <w:qFormat/>
    <w:uiPriority w:val="0"/>
    <w:pPr>
      <w:shd w:val="clear" w:color="auto" w:fill="FFFFFF"/>
      <w:spacing w:before="5120" w:line="170" w:lineRule="exact"/>
      <w:jc w:val="left"/>
    </w:pPr>
    <w:rPr>
      <w:rFonts w:ascii="PMingLiU" w:hAnsi="PMingLiU" w:eastAsia="PMingLiU" w:cs="PMingLiU"/>
      <w:kern w:val="0"/>
      <w:sz w:val="17"/>
      <w:szCs w:val="17"/>
    </w:rPr>
  </w:style>
  <w:style w:type="character" w:customStyle="1" w:styleId="28">
    <w:name w:val="正文文本缩进 字符"/>
    <w:basedOn w:val="12"/>
    <w:link w:val="5"/>
    <w:qFormat/>
    <w:uiPriority w:val="99"/>
    <w:rPr>
      <w:rFonts w:ascii="Times New Roman" w:hAnsi="Times New Roman" w:eastAsia="宋体" w:cs="Times New Roman"/>
      <w:kern w:val="2"/>
      <w:sz w:val="28"/>
      <w:szCs w:val="24"/>
    </w:rPr>
  </w:style>
  <w:style w:type="character" w:customStyle="1" w:styleId="29">
    <w:name w:val="正文文本缩进 2 字符"/>
    <w:basedOn w:val="12"/>
    <w:link w:val="6"/>
    <w:semiHidden/>
    <w:qFormat/>
    <w:uiPriority w:val="99"/>
    <w:rPr>
      <w:kern w:val="2"/>
      <w:sz w:val="21"/>
      <w:szCs w:val="22"/>
    </w:rPr>
  </w:style>
  <w:style w:type="character" w:customStyle="1" w:styleId="30">
    <w:name w:val="纯文本 字符"/>
    <w:basedOn w:val="12"/>
    <w:link w:val="7"/>
    <w:qFormat/>
    <w:uiPriority w:val="99"/>
    <w:rPr>
      <w:rFonts w:ascii="宋体" w:hAnsi="Courier New" w:eastAsia="宋体" w:cs="Times New Roman"/>
      <w:kern w:val="2"/>
      <w:sz w:val="21"/>
      <w:szCs w:val="21"/>
    </w:rPr>
  </w:style>
  <w:style w:type="character" w:customStyle="1" w:styleId="31">
    <w:name w:val="MSG_EN_FONT_STYLE_NAME_TEMPLATE_ROLE_NUMBER MSG_EN_FONT_STYLE_NAME_BY_ROLE_TEXT 13_"/>
    <w:link w:val="25"/>
    <w:qFormat/>
    <w:uiPriority w:val="0"/>
    <w:rPr>
      <w:rFonts w:ascii="PMingLiU" w:hAnsi="PMingLiU" w:eastAsia="PMingLiU" w:cs="PMingLiU"/>
      <w:shd w:val="clear" w:color="auto" w:fill="FFFFFF"/>
    </w:rPr>
  </w:style>
  <w:style w:type="character" w:customStyle="1" w:styleId="32">
    <w:name w:val="MSG_EN_FONT_STYLE_NAME_TEMPLATE_ROLE_NUMBER MSG_EN_FONT_STYLE_NAME_BY_ROLE_TEXT 5_"/>
    <w:link w:val="27"/>
    <w:qFormat/>
    <w:uiPriority w:val="0"/>
    <w:rPr>
      <w:rFonts w:ascii="PMingLiU" w:hAnsi="PMingLiU" w:eastAsia="PMingLiU" w:cs="PMingLiU"/>
      <w:sz w:val="17"/>
      <w:szCs w:val="17"/>
      <w:shd w:val="clear" w:color="auto" w:fill="FFFFFF"/>
    </w:rPr>
  </w:style>
  <w:style w:type="character" w:customStyle="1" w:styleId="33">
    <w:name w:val="正文文本 (2) + Times New Roman"/>
    <w:qFormat/>
    <w:uiPriority w:val="0"/>
    <w:rPr>
      <w:rFonts w:ascii="Times New Roman" w:hAnsi="Times New Roman" w:eastAsia="Times New Roman" w:cs="Times New Roman"/>
      <w:color w:val="000000"/>
      <w:spacing w:val="0"/>
      <w:w w:val="100"/>
      <w:position w:val="0"/>
      <w:sz w:val="24"/>
      <w:szCs w:val="24"/>
      <w:u w:val="none"/>
      <w:shd w:val="clear" w:color="auto" w:fill="FFFFFF"/>
      <w:lang w:val="en-US" w:eastAsia="en-US" w:bidi="en-US"/>
    </w:rPr>
  </w:style>
  <w:style w:type="character" w:customStyle="1" w:styleId="34">
    <w:name w:val="正文文本 (7) + David"/>
    <w:qFormat/>
    <w:uiPriority w:val="0"/>
    <w:rPr>
      <w:rFonts w:ascii="David" w:hAnsi="David" w:eastAsia="David" w:cs="David"/>
      <w:color w:val="000000"/>
      <w:spacing w:val="0"/>
      <w:w w:val="100"/>
      <w:position w:val="0"/>
      <w:sz w:val="42"/>
      <w:szCs w:val="42"/>
      <w:shd w:val="clear" w:color="auto" w:fill="FFFFFF"/>
      <w:lang w:val="en-US" w:eastAsia="en-US" w:bidi="en-US"/>
    </w:rPr>
  </w:style>
  <w:style w:type="character" w:customStyle="1" w:styleId="35">
    <w:name w:val="正文文本 (2) + Tahoma"/>
    <w:qFormat/>
    <w:uiPriority w:val="0"/>
    <w:rPr>
      <w:rFonts w:ascii="Tahoma" w:hAnsi="Tahoma" w:eastAsia="Tahoma" w:cs="Tahoma"/>
      <w:color w:val="000000"/>
      <w:spacing w:val="0"/>
      <w:w w:val="100"/>
      <w:position w:val="0"/>
      <w:sz w:val="18"/>
      <w:szCs w:val="18"/>
      <w:u w:val="none"/>
      <w:shd w:val="clear" w:color="auto" w:fill="FFFFFF"/>
      <w:lang w:val="en-US"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D1415-EB3F-4E4B-8E9A-7202B2D1D16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4058</Words>
  <Characters>4327</Characters>
  <Lines>37</Lines>
  <Paragraphs>10</Paragraphs>
  <TotalTime>1</TotalTime>
  <ScaleCrop>false</ScaleCrop>
  <LinksUpToDate>false</LinksUpToDate>
  <CharactersWithSpaces>4366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2021-08-02T04:08:00Z</dcterms:created>
  <dc:creator>微软用户</dc:creator>
  <cp:lastModifiedBy>ASUS</cp:lastModifiedBy>
  <dcterms:modified xsi:type="dcterms:W3CDTF">2026-04-28T03:52:15Z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97B25FE1A566477186C8543FFB10435D_12</vt:lpwstr>
  </property>
  <property fmtid="{D5CDD505-2E9C-101B-9397-08002B2CF9AE}" pid="4" name="KSOTemplateDocerSaveRecord">
    <vt:lpwstr>eyJoZGlkIjoiZWEyZGQyZDIxYjdjNzVlYjVkM2EyZTg3MWQ0M2U4ODUiLCJ1c2VySWQiOiI0MzE5OTkyMDAifQ==</vt:lpwstr>
  </property>
</Properties>
</file>