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1CA4A">
      <w:pPr>
        <w:keepLines w:val="0"/>
        <w:kinsoku/>
        <w:wordWrap/>
        <w:overflowPunct/>
        <w:topLinePunct w:val="0"/>
        <w:bidi w:val="0"/>
        <w:spacing w:line="360" w:lineRule="exact"/>
        <w:jc w:val="center"/>
        <w:textAlignment w:val="auto"/>
        <w:rPr>
          <w:rFonts w:hint="eastAsia" w:ascii="宋体" w:hAnsi="宋体" w:eastAsia="宋体" w:cs="宋体"/>
          <w:b/>
          <w:sz w:val="21"/>
          <w:szCs w:val="21"/>
        </w:rPr>
      </w:pPr>
      <w:bookmarkStart w:id="0" w:name="_Hlk141166984"/>
      <w:r>
        <w:rPr>
          <w:rFonts w:hint="eastAsia" w:ascii="宋体" w:hAnsi="宋体" w:eastAsia="宋体" w:cs="宋体"/>
          <w:b/>
          <w:sz w:val="21"/>
          <w:szCs w:val="21"/>
          <w:lang w:val="en-US" w:eastAsia="zh-CN"/>
        </w:rPr>
        <w:t>长白山保护开发区2026年S304省道松露公路松露线与环山线分叉口至长白山管委会与白山抚松交界处段路面提质工程施工</w:t>
      </w:r>
      <w:r>
        <w:rPr>
          <w:rFonts w:hint="eastAsia" w:ascii="宋体" w:hAnsi="宋体" w:eastAsia="宋体" w:cs="宋体"/>
          <w:b/>
          <w:sz w:val="21"/>
          <w:szCs w:val="21"/>
          <w:lang w:eastAsia="zh-CN"/>
        </w:rPr>
        <w:t>招标</w:t>
      </w:r>
      <w:bookmarkEnd w:id="0"/>
      <w:r>
        <w:rPr>
          <w:rFonts w:hint="eastAsia" w:ascii="宋体" w:hAnsi="宋体" w:eastAsia="宋体" w:cs="宋体"/>
          <w:b/>
          <w:sz w:val="21"/>
          <w:szCs w:val="21"/>
        </w:rPr>
        <w:t>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588000F">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07ED7BAB">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7796BB4D">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：见附录1</w:t>
            </w:r>
          </w:p>
          <w:p w14:paraId="3B0D197C">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财务要求：见附录2</w:t>
            </w:r>
          </w:p>
          <w:p w14:paraId="196A191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业绩要求：见附录3</w:t>
            </w:r>
          </w:p>
          <w:p w14:paraId="6E28F30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信誉要求：见附录4</w:t>
            </w:r>
          </w:p>
          <w:p w14:paraId="11337B1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项目经理经历和项目总工资格：见附录5</w:t>
            </w:r>
          </w:p>
          <w:p w14:paraId="5B3AEF53">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20B391FC">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rPr>
              <w:t>不接受</w:t>
            </w:r>
          </w:p>
          <w:p w14:paraId="2FDA3710">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 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sz w:val="21"/>
                <w:szCs w:val="21"/>
                <w:highlight w:val="none"/>
              </w:rPr>
              <w:t>接受，应满足下列要求：</w:t>
            </w:r>
            <w:r>
              <w:rPr>
                <w:rFonts w:hint="eastAsia" w:ascii="宋体" w:hAnsi="宋体" w:eastAsia="宋体" w:cs="宋体"/>
                <w:color w:val="auto"/>
                <w:sz w:val="21"/>
                <w:szCs w:val="21"/>
                <w:highlight w:val="none"/>
                <w:lang w:val="en-US" w:eastAsia="zh-CN"/>
              </w:rPr>
              <w:t>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0C26B66E">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1581077F">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4B6F5CCF">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316E9A2C">
            <w:pPr>
              <w:pStyle w:val="15"/>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bl>
    <w:p w14:paraId="02661FC0">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1" w:name="_Toc152042310"/>
      <w:bookmarkStart w:id="2" w:name="_Toc179632551"/>
      <w:bookmarkStart w:id="3" w:name="_Toc144974502"/>
      <w:bookmarkStart w:id="4" w:name="_Toc502741808"/>
      <w:bookmarkStart w:id="5" w:name="_Toc152045534"/>
      <w:bookmarkStart w:id="6" w:name="_Toc110596237"/>
      <w:bookmarkStart w:id="7" w:name="_Toc346800722"/>
      <w:bookmarkStart w:id="8" w:name="_Hlk141167126"/>
      <w:r>
        <w:rPr>
          <w:rFonts w:hint="eastAsia" w:ascii="宋体" w:hAnsi="宋体" w:eastAsia="宋体" w:cs="宋体"/>
          <w:color w:val="auto"/>
          <w:sz w:val="21"/>
          <w:szCs w:val="21"/>
          <w:highlight w:val="none"/>
        </w:rPr>
        <w:t>1.4投标人资格要求（适用于未进行资格预审的）</w:t>
      </w:r>
      <w:bookmarkEnd w:id="1"/>
      <w:bookmarkEnd w:id="2"/>
      <w:bookmarkEnd w:id="3"/>
      <w:bookmarkEnd w:id="4"/>
      <w:bookmarkEnd w:id="5"/>
    </w:p>
    <w:p w14:paraId="10D7DC1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5BC18635">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1E1876FE">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05472715">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0E9F06F2">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1D49A2CC">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5DD3B3F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06DF9AF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3806211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6E63A598">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0A193DB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68BB1110">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2F798768">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190CD7A9">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1B425B2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640B107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p>
    <w:p w14:paraId="6EBA86D8">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与招标人存在利害关系且可能影响招标公正性；</w:t>
      </w:r>
    </w:p>
    <w:p w14:paraId="59A6B1A7">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795A2E13">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1ABB1EB9">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p>
    <w:p w14:paraId="45652D2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08C04A1A">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50BEF02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54D4F35D">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6F075A75">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5092510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21901F0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4E0095AD">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4D1BCD74">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1FDA71F1">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364D0D2C">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在国家企业信用信息公示系统（http://www.gsxt.gov.cn/）中被列入严重违法失信企业名单；</w:t>
      </w:r>
    </w:p>
    <w:p w14:paraId="092D8AC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在“信用中国”网站（http://www.creditchina.gov.cn/）中被列入失信被执行人名单；</w:t>
      </w:r>
    </w:p>
    <w:p w14:paraId="4CD3A68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24017FDF">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4013ED2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中的公路工程施工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6B83890">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6"/>
    <w:bookmarkEnd w:id="7"/>
    <w:bookmarkEnd w:id="8"/>
    <w:p w14:paraId="4FEEB2DC">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9" w:name="_Toc8735"/>
      <w:r>
        <w:rPr>
          <w:rFonts w:hint="eastAsia" w:ascii="宋体" w:hAnsi="宋体" w:eastAsia="宋体" w:cs="宋体"/>
          <w:b/>
          <w:color w:val="auto"/>
          <w:sz w:val="21"/>
          <w:szCs w:val="21"/>
          <w:highlight w:val="none"/>
        </w:rPr>
        <w:t>附录1 资格审查条件（资质最低要求）</w:t>
      </w:r>
      <w:bookmarkEnd w:id="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8248"/>
      </w:tblGrid>
      <w:tr w14:paraId="1C47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8" w:type="dxa"/>
            <w:tcBorders>
              <w:top w:val="single" w:color="auto" w:sz="12" w:space="0"/>
              <w:left w:val="single" w:color="auto" w:sz="12" w:space="0"/>
            </w:tcBorders>
            <w:vAlign w:val="center"/>
          </w:tcPr>
          <w:p w14:paraId="6F157C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248" w:type="dxa"/>
            <w:tcBorders>
              <w:top w:val="single" w:color="auto" w:sz="12" w:space="0"/>
              <w:right w:val="single" w:color="auto" w:sz="12" w:space="0"/>
            </w:tcBorders>
            <w:vAlign w:val="center"/>
          </w:tcPr>
          <w:p w14:paraId="2FD98E8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0863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8" w:type="dxa"/>
            <w:tcBorders>
              <w:left w:val="single" w:color="auto" w:sz="12" w:space="0"/>
              <w:bottom w:val="single" w:color="auto" w:sz="12" w:space="0"/>
            </w:tcBorders>
            <w:shd w:val="clear" w:color="auto" w:fill="auto"/>
            <w:vAlign w:val="center"/>
          </w:tcPr>
          <w:p w14:paraId="7D8922A6">
            <w:pPr>
              <w:pStyle w:val="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CBS26YH01</w:t>
            </w:r>
          </w:p>
        </w:tc>
        <w:tc>
          <w:tcPr>
            <w:tcW w:w="8248" w:type="dxa"/>
            <w:tcBorders>
              <w:bottom w:val="single" w:color="auto" w:sz="12" w:space="0"/>
              <w:right w:val="single" w:color="auto" w:sz="12" w:space="0"/>
            </w:tcBorders>
            <w:shd w:val="clear" w:color="auto" w:fill="auto"/>
            <w:vAlign w:val="center"/>
          </w:tcPr>
          <w:p w14:paraId="459E87A3">
            <w:pPr>
              <w:keepLines w:val="0"/>
              <w:widowControl/>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rPr>
              <w:t>（1）交通运输主管部门</w:t>
            </w:r>
            <w:r>
              <w:rPr>
                <w:rFonts w:hint="eastAsia" w:ascii="宋体" w:hAnsi="宋体" w:eastAsia="宋体" w:cs="宋体"/>
                <w:sz w:val="21"/>
                <w:szCs w:val="21"/>
                <w:highlight w:val="none"/>
              </w:rPr>
              <w:t>颁发的路基路面养护</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0495181C">
            <w:pPr>
              <w:keepLines w:val="0"/>
              <w:widowControl/>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（2）交通运输主管部门颁发的桥梁养护</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57EC8CFF">
            <w:pPr>
              <w:keepLines w:val="0"/>
              <w:widowControl/>
              <w:kinsoku/>
              <w:wordWrap/>
              <w:overflowPunct/>
              <w:topLinePunct w:val="0"/>
              <w:bidi w:val="0"/>
              <w:spacing w:line="3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（3）交通运输主管部门颁发的交通安全设施养护资质</w:t>
            </w:r>
            <w:r>
              <w:rPr>
                <w:rFonts w:hint="eastAsia" w:ascii="宋体" w:hAnsi="宋体" w:eastAsia="宋体" w:cs="宋体"/>
                <w:sz w:val="21"/>
                <w:szCs w:val="21"/>
                <w:lang w:eastAsia="zh-CN"/>
              </w:rPr>
              <w:t>；</w:t>
            </w:r>
          </w:p>
          <w:p w14:paraId="4A9E887A">
            <w:pPr>
              <w:keepLines w:val="0"/>
              <w:widowControl/>
              <w:kinsoku/>
              <w:wordWrap/>
              <w:overflowPunct/>
              <w:topLinePunct w:val="0"/>
              <w:bidi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color w:val="auto"/>
                <w:sz w:val="21"/>
                <w:szCs w:val="21"/>
                <w:highlight w:val="none"/>
                <w:lang w:eastAsia="zh-CN"/>
              </w:rPr>
              <w:t>住房城乡建设主管部门颁发的</w:t>
            </w:r>
            <w:r>
              <w:rPr>
                <w:rFonts w:hint="eastAsia" w:ascii="宋体" w:hAnsi="宋体" w:eastAsia="宋体" w:cs="宋体"/>
                <w:sz w:val="21"/>
                <w:szCs w:val="21"/>
              </w:rPr>
              <w:t>公路交通工程（公路机电工程</w:t>
            </w:r>
            <w:r>
              <w:rPr>
                <w:rFonts w:hint="eastAsia" w:ascii="宋体" w:hAnsi="宋体" w:eastAsia="宋体" w:cs="宋体"/>
                <w:sz w:val="21"/>
                <w:szCs w:val="21"/>
                <w:lang w:val="en-US" w:eastAsia="zh-CN"/>
              </w:rPr>
              <w:t>分项</w:t>
            </w:r>
            <w:r>
              <w:rPr>
                <w:rFonts w:hint="eastAsia" w:ascii="宋体" w:hAnsi="宋体" w:eastAsia="宋体" w:cs="宋体"/>
                <w:sz w:val="21"/>
                <w:szCs w:val="21"/>
              </w:rPr>
              <w:t>）专业承包二级资质</w:t>
            </w:r>
            <w:r>
              <w:rPr>
                <w:rFonts w:hint="eastAsia" w:ascii="宋体" w:hAnsi="宋体" w:eastAsia="宋体" w:cs="宋体"/>
                <w:sz w:val="21"/>
                <w:szCs w:val="21"/>
                <w:lang w:eastAsia="zh-CN"/>
              </w:rPr>
              <w:t>。</w:t>
            </w:r>
          </w:p>
        </w:tc>
      </w:tr>
    </w:tbl>
    <w:p w14:paraId="02613AD5">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0" w:name="_Toc12580"/>
      <w:r>
        <w:rPr>
          <w:rFonts w:hint="eastAsia" w:ascii="宋体" w:hAnsi="宋体" w:eastAsia="宋体" w:cs="宋体"/>
          <w:b/>
          <w:color w:val="auto"/>
          <w:sz w:val="21"/>
          <w:szCs w:val="21"/>
          <w:highlight w:val="none"/>
        </w:rPr>
        <w:t>附录2 资格审查条件（财务最低要求）</w:t>
      </w:r>
      <w:bookmarkEnd w:id="10"/>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4894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63D6513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4AD9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6B78506C">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近三年具有良好的商业信誉和健全的财务会计制度。</w:t>
            </w:r>
          </w:p>
        </w:tc>
      </w:tr>
    </w:tbl>
    <w:p w14:paraId="03FF970A">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1" w:name="_Toc20296"/>
      <w:bookmarkStart w:id="12" w:name="_Toc4002"/>
      <w:r>
        <w:rPr>
          <w:rFonts w:hint="eastAsia" w:ascii="宋体" w:hAnsi="宋体" w:eastAsia="宋体" w:cs="宋体"/>
          <w:b/>
          <w:color w:val="auto"/>
          <w:sz w:val="21"/>
          <w:szCs w:val="21"/>
          <w:highlight w:val="none"/>
        </w:rPr>
        <w:t>附录3 资格审查条件（业绩最低要求）</w:t>
      </w:r>
      <w:bookmarkEnd w:id="11"/>
      <w:bookmarkEnd w:id="12"/>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5653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3E2B619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56F1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5ACF452D">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无</w:t>
            </w:r>
          </w:p>
        </w:tc>
      </w:tr>
    </w:tbl>
    <w:p w14:paraId="6155ED52">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3" w:name="_Toc5303"/>
      <w:r>
        <w:rPr>
          <w:rFonts w:hint="eastAsia" w:ascii="宋体" w:hAnsi="宋体" w:eastAsia="宋体" w:cs="宋体"/>
          <w:b/>
          <w:color w:val="auto"/>
          <w:sz w:val="21"/>
          <w:szCs w:val="21"/>
          <w:highlight w:val="none"/>
        </w:rPr>
        <w:t>附录4 资格审查条件（信誉最低要求）</w:t>
      </w:r>
      <w:bookmarkEnd w:id="13"/>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6248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top w:val="single" w:color="auto" w:sz="12" w:space="0"/>
              <w:left w:val="single" w:color="auto" w:sz="12" w:space="0"/>
              <w:right w:val="single" w:color="auto" w:sz="12" w:space="0"/>
            </w:tcBorders>
            <w:vAlign w:val="center"/>
          </w:tcPr>
          <w:p w14:paraId="48D1B4C0">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2641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21" w:type="dxa"/>
            <w:tcBorders>
              <w:left w:val="single" w:color="auto" w:sz="12" w:space="0"/>
              <w:bottom w:val="single" w:color="auto" w:sz="12" w:space="0"/>
              <w:right w:val="single" w:color="auto" w:sz="12" w:space="0"/>
            </w:tcBorders>
            <w:vAlign w:val="center"/>
          </w:tcPr>
          <w:p w14:paraId="7A5C3E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无</w:t>
            </w:r>
          </w:p>
        </w:tc>
      </w:tr>
    </w:tbl>
    <w:p w14:paraId="3121400C">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4" w:name="_Toc8328"/>
      <w:r>
        <w:rPr>
          <w:rFonts w:hint="eastAsia" w:ascii="宋体" w:hAnsi="宋体" w:eastAsia="宋体" w:cs="宋体"/>
          <w:b/>
          <w:color w:val="auto"/>
          <w:sz w:val="21"/>
          <w:szCs w:val="21"/>
          <w:highlight w:val="none"/>
        </w:rPr>
        <w:t>附录5 资格审查条件（项目经理和项目总工最低要求）</w:t>
      </w:r>
      <w:bookmarkEnd w:id="14"/>
    </w:p>
    <w:tbl>
      <w:tblPr>
        <w:tblStyle w:val="11"/>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39"/>
        <w:gridCol w:w="5751"/>
        <w:gridCol w:w="1381"/>
      </w:tblGrid>
      <w:tr w14:paraId="4831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98" w:type="dxa"/>
            <w:tcBorders>
              <w:top w:val="single" w:color="auto" w:sz="12" w:space="0"/>
              <w:left w:val="single" w:color="auto" w:sz="12" w:space="0"/>
            </w:tcBorders>
            <w:vAlign w:val="center"/>
          </w:tcPr>
          <w:p w14:paraId="78BD2AF0">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1239" w:type="dxa"/>
            <w:tcBorders>
              <w:top w:val="single" w:color="auto" w:sz="12" w:space="0"/>
              <w:right w:val="single" w:color="auto" w:sz="4" w:space="0"/>
            </w:tcBorders>
            <w:vAlign w:val="center"/>
          </w:tcPr>
          <w:p w14:paraId="62683C4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数量</w:t>
            </w:r>
            <w:r>
              <w:rPr>
                <w:rFonts w:hint="eastAsia" w:ascii="宋体" w:hAnsi="宋体" w:eastAsia="宋体" w:cs="宋体"/>
                <w:sz w:val="21"/>
                <w:szCs w:val="21"/>
              </w:rPr>
              <w:br w:type="textWrapping"/>
            </w:r>
            <w:r>
              <w:rPr>
                <w:rFonts w:hint="eastAsia" w:ascii="宋体" w:hAnsi="宋体" w:eastAsia="宋体" w:cs="宋体"/>
                <w:sz w:val="21"/>
                <w:szCs w:val="21"/>
              </w:rPr>
              <w:t>（人</w:t>
            </w:r>
            <w:r>
              <w:rPr>
                <w:rFonts w:hint="eastAsia" w:ascii="宋体" w:hAnsi="宋体" w:eastAsia="宋体" w:cs="宋体"/>
                <w:sz w:val="21"/>
                <w:szCs w:val="21"/>
                <w:lang w:val="en-US" w:eastAsia="zh-CN"/>
              </w:rPr>
              <w:t>/标段</w:t>
            </w:r>
            <w:r>
              <w:rPr>
                <w:rFonts w:hint="eastAsia" w:ascii="宋体" w:hAnsi="宋体" w:eastAsia="宋体" w:cs="宋体"/>
                <w:sz w:val="21"/>
                <w:szCs w:val="21"/>
              </w:rPr>
              <w:t>）</w:t>
            </w:r>
          </w:p>
        </w:tc>
        <w:tc>
          <w:tcPr>
            <w:tcW w:w="5751" w:type="dxa"/>
            <w:tcBorders>
              <w:top w:val="single" w:color="auto" w:sz="12" w:space="0"/>
              <w:left w:val="single" w:color="auto" w:sz="4" w:space="0"/>
              <w:right w:val="single" w:color="auto" w:sz="4" w:space="0"/>
            </w:tcBorders>
            <w:vAlign w:val="center"/>
          </w:tcPr>
          <w:p w14:paraId="5F63AB09">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381" w:type="dxa"/>
            <w:tcBorders>
              <w:top w:val="single" w:color="auto" w:sz="12" w:space="0"/>
              <w:left w:val="single" w:color="auto" w:sz="4" w:space="0"/>
              <w:right w:val="single" w:color="auto" w:sz="12" w:space="0"/>
            </w:tcBorders>
            <w:vAlign w:val="center"/>
          </w:tcPr>
          <w:p w14:paraId="4AF3E731">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3B2B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098" w:type="dxa"/>
            <w:tcBorders>
              <w:left w:val="single" w:color="auto" w:sz="12" w:space="0"/>
            </w:tcBorders>
            <w:vAlign w:val="center"/>
          </w:tcPr>
          <w:p w14:paraId="001D3201">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239" w:type="dxa"/>
            <w:tcBorders>
              <w:right w:val="single" w:color="auto" w:sz="4" w:space="0"/>
            </w:tcBorders>
            <w:vAlign w:val="center"/>
          </w:tcPr>
          <w:p w14:paraId="74A8F76A">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left w:val="single" w:color="auto" w:sz="4" w:space="0"/>
              <w:right w:val="single" w:color="auto" w:sz="4" w:space="0"/>
            </w:tcBorders>
            <w:vAlign w:val="center"/>
          </w:tcPr>
          <w:p w14:paraId="2E03F11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投标</w:t>
            </w:r>
            <w:r>
              <w:rPr>
                <w:rFonts w:hint="eastAsia" w:ascii="宋体" w:hAnsi="宋体" w:eastAsia="宋体" w:cs="宋体"/>
                <w:b w:val="0"/>
                <w:bCs/>
                <w:color w:val="auto"/>
                <w:sz w:val="21"/>
                <w:szCs w:val="21"/>
                <w:highlight w:val="none"/>
              </w:rPr>
              <w:t>人</w:t>
            </w:r>
            <w:r>
              <w:rPr>
                <w:rFonts w:hint="eastAsia" w:ascii="宋体" w:hAnsi="宋体" w:eastAsia="宋体" w:cs="宋体"/>
                <w:sz w:val="21"/>
                <w:szCs w:val="21"/>
              </w:rPr>
              <w:t>（联合体投标的，指联合体牵头人）</w:t>
            </w:r>
            <w:r>
              <w:rPr>
                <w:rFonts w:hint="eastAsia" w:ascii="宋体" w:hAnsi="宋体" w:eastAsia="宋体" w:cs="宋体"/>
                <w:b/>
                <w:bCs w:val="0"/>
                <w:color w:val="auto"/>
                <w:sz w:val="21"/>
                <w:szCs w:val="21"/>
                <w:highlight w:val="none"/>
              </w:rPr>
              <w:t>自有</w:t>
            </w:r>
            <w:r>
              <w:rPr>
                <w:rStyle w:val="13"/>
                <w:rFonts w:hint="eastAsia" w:ascii="宋体" w:hAnsi="宋体" w:eastAsia="宋体" w:cs="宋体"/>
                <w:b w:val="0"/>
                <w:bCs/>
                <w:color w:val="auto"/>
                <w:sz w:val="21"/>
                <w:szCs w:val="21"/>
                <w:highlight w:val="none"/>
              </w:rPr>
              <w:footnoteReference w:id="2"/>
            </w:r>
            <w:r>
              <w:rPr>
                <w:rFonts w:hint="eastAsia" w:ascii="宋体" w:hAnsi="宋体" w:eastAsia="宋体" w:cs="宋体"/>
                <w:b w:val="0"/>
                <w:bCs/>
                <w:color w:val="auto"/>
                <w:sz w:val="21"/>
                <w:szCs w:val="21"/>
                <w:highlight w:val="none"/>
              </w:rPr>
              <w:t>人员；</w:t>
            </w:r>
          </w:p>
          <w:p w14:paraId="27718E0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sz w:val="21"/>
                <w:szCs w:val="21"/>
                <w:highlight w:val="none"/>
              </w:rPr>
              <w:t>具有公路工程相关专业</w:t>
            </w:r>
            <w:r>
              <w:rPr>
                <w:rStyle w:val="13"/>
                <w:rFonts w:hint="eastAsia" w:ascii="宋体" w:hAnsi="宋体" w:eastAsia="宋体" w:cs="宋体"/>
                <w:bCs/>
                <w:sz w:val="21"/>
                <w:szCs w:val="21"/>
                <w:highlight w:val="none"/>
              </w:rPr>
              <w:footnoteReference w:id="3"/>
            </w:r>
            <w:r>
              <w:rPr>
                <w:rFonts w:hint="eastAsia" w:ascii="宋体" w:hAnsi="宋体" w:eastAsia="宋体" w:cs="宋体"/>
                <w:b/>
                <w:bCs/>
                <w:sz w:val="21"/>
                <w:szCs w:val="21"/>
                <w:highlight w:val="none"/>
                <w:lang w:val="en-US" w:eastAsia="zh-CN"/>
              </w:rPr>
              <w:t>中级</w:t>
            </w:r>
            <w:r>
              <w:rPr>
                <w:rFonts w:hint="eastAsia" w:ascii="宋体" w:hAnsi="宋体" w:eastAsia="宋体" w:cs="宋体"/>
                <w:bCs/>
                <w:sz w:val="21"/>
                <w:szCs w:val="21"/>
                <w:highlight w:val="none"/>
              </w:rPr>
              <w:t>职称</w:t>
            </w:r>
            <w:r>
              <w:rPr>
                <w:rFonts w:hint="eastAsia" w:ascii="宋体" w:hAnsi="宋体" w:eastAsia="宋体" w:cs="宋体"/>
                <w:bCs/>
                <w:sz w:val="21"/>
                <w:szCs w:val="21"/>
                <w:highlight w:val="none"/>
                <w:lang w:eastAsia="zh-CN"/>
              </w:rPr>
              <w:t>；</w:t>
            </w:r>
          </w:p>
          <w:p w14:paraId="45ABBF77">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5E54A770">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tcBorders>
              <w:left w:val="single" w:color="auto" w:sz="4" w:space="0"/>
              <w:right w:val="single" w:color="auto" w:sz="12" w:space="0"/>
            </w:tcBorders>
            <w:vAlign w:val="center"/>
          </w:tcPr>
          <w:p w14:paraId="3434C85E">
            <w:pPr>
              <w:keepLines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w:t>
            </w:r>
            <w:r>
              <w:rPr>
                <w:rFonts w:hint="eastAsia" w:ascii="宋体" w:hAnsi="宋体" w:eastAsia="宋体" w:cs="宋体"/>
                <w:color w:val="auto"/>
                <w:kern w:val="0"/>
                <w:sz w:val="21"/>
                <w:szCs w:val="21"/>
                <w:highlight w:val="none"/>
                <w:lang w:val="en-US" w:eastAsia="zh-CN"/>
              </w:rPr>
              <w:t>够</w:t>
            </w:r>
            <w:r>
              <w:rPr>
                <w:rFonts w:hint="eastAsia" w:ascii="宋体" w:hAnsi="宋体" w:eastAsia="宋体" w:cs="宋体"/>
                <w:color w:val="auto"/>
                <w:kern w:val="0"/>
                <w:sz w:val="21"/>
                <w:szCs w:val="21"/>
                <w:highlight w:val="none"/>
              </w:rPr>
              <w:t>从该项目撤离）</w:t>
            </w:r>
          </w:p>
        </w:tc>
      </w:tr>
      <w:tr w14:paraId="46B1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98" w:type="dxa"/>
            <w:tcBorders>
              <w:left w:val="single" w:color="auto" w:sz="12" w:space="0"/>
              <w:bottom w:val="single" w:color="auto" w:sz="12" w:space="0"/>
            </w:tcBorders>
            <w:vAlign w:val="center"/>
          </w:tcPr>
          <w:p w14:paraId="50D095E2">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239" w:type="dxa"/>
            <w:tcBorders>
              <w:bottom w:val="single" w:color="auto" w:sz="12" w:space="0"/>
            </w:tcBorders>
            <w:vAlign w:val="center"/>
          </w:tcPr>
          <w:p w14:paraId="2483B5B2">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bottom w:val="single" w:color="auto" w:sz="12" w:space="0"/>
              <w:right w:val="single" w:color="auto" w:sz="4" w:space="0"/>
            </w:tcBorders>
            <w:vAlign w:val="center"/>
          </w:tcPr>
          <w:p w14:paraId="297B3E6B">
            <w:pPr>
              <w:keepLines w:val="0"/>
              <w:kinsoku/>
              <w:wordWrap/>
              <w:overflowPunct/>
              <w:topLinePunct w:val="0"/>
              <w:bidi w:val="0"/>
              <w:spacing w:line="360" w:lineRule="exact"/>
              <w:textAlignment w:val="auto"/>
              <w:rPr>
                <w:rFonts w:hint="eastAsia" w:ascii="宋体" w:hAnsi="宋体" w:eastAsia="宋体" w:cs="宋体"/>
                <w:bCs/>
                <w:sz w:val="21"/>
                <w:szCs w:val="21"/>
              </w:rPr>
            </w:pPr>
            <w:r>
              <w:rPr>
                <w:rFonts w:hint="eastAsia" w:ascii="宋体" w:hAnsi="宋体" w:eastAsia="宋体" w:cs="宋体"/>
                <w:bCs/>
                <w:sz w:val="21"/>
                <w:szCs w:val="21"/>
              </w:rPr>
              <w:t>（1）投标人</w:t>
            </w:r>
            <w:r>
              <w:rPr>
                <w:rFonts w:hint="eastAsia" w:ascii="宋体" w:hAnsi="宋体" w:eastAsia="宋体" w:cs="宋体"/>
                <w:sz w:val="21"/>
                <w:szCs w:val="21"/>
              </w:rPr>
              <w:t>（联合体投标的，指联合体牵头人）</w:t>
            </w:r>
            <w:r>
              <w:rPr>
                <w:rFonts w:hint="eastAsia" w:ascii="宋体" w:hAnsi="宋体" w:eastAsia="宋体" w:cs="宋体"/>
                <w:b/>
                <w:bCs/>
                <w:sz w:val="21"/>
                <w:szCs w:val="21"/>
              </w:rPr>
              <w:t>自有</w:t>
            </w:r>
            <w:r>
              <w:rPr>
                <w:rFonts w:hint="eastAsia" w:ascii="宋体" w:hAnsi="宋体" w:eastAsia="宋体" w:cs="宋体"/>
                <w:bCs/>
                <w:sz w:val="21"/>
                <w:szCs w:val="21"/>
              </w:rPr>
              <w:t>人员；</w:t>
            </w:r>
          </w:p>
          <w:p w14:paraId="6F9A8F85">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sz w:val="21"/>
                <w:szCs w:val="21"/>
              </w:rPr>
              <w:t>（2）具有公路工程相关专业</w:t>
            </w:r>
            <w:r>
              <w:rPr>
                <w:rFonts w:hint="eastAsia" w:ascii="宋体" w:hAnsi="宋体" w:eastAsia="宋体" w:cs="宋体"/>
                <w:b/>
                <w:bCs/>
                <w:sz w:val="21"/>
                <w:szCs w:val="21"/>
                <w:lang w:val="en-US" w:eastAsia="zh-CN"/>
              </w:rPr>
              <w:t>高级</w:t>
            </w:r>
            <w:r>
              <w:rPr>
                <w:rFonts w:hint="eastAsia" w:ascii="宋体" w:hAnsi="宋体" w:eastAsia="宋体" w:cs="宋体"/>
                <w:bCs/>
                <w:sz w:val="21"/>
                <w:szCs w:val="21"/>
              </w:rPr>
              <w:t>职称</w:t>
            </w:r>
            <w:r>
              <w:rPr>
                <w:rFonts w:hint="eastAsia" w:ascii="宋体" w:hAnsi="宋体" w:eastAsia="宋体" w:cs="宋体"/>
                <w:bCs/>
                <w:sz w:val="21"/>
                <w:szCs w:val="21"/>
                <w:lang w:eastAsia="zh-CN"/>
              </w:rPr>
              <w:t>。</w:t>
            </w:r>
          </w:p>
        </w:tc>
        <w:tc>
          <w:tcPr>
            <w:tcW w:w="1381" w:type="dxa"/>
            <w:vMerge w:val="continue"/>
            <w:tcBorders>
              <w:left w:val="single" w:color="auto" w:sz="4" w:space="0"/>
              <w:bottom w:val="single" w:color="auto" w:sz="12" w:space="0"/>
              <w:right w:val="single" w:color="auto" w:sz="12" w:space="0"/>
            </w:tcBorders>
          </w:tcPr>
          <w:p w14:paraId="5FA8A59C">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3943F173">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评标办法（技术评分最低标价法）</w:t>
      </w:r>
    </w:p>
    <w:p w14:paraId="0804E2A7">
      <w:pPr>
        <w:keepLines w:val="0"/>
        <w:kinsoku/>
        <w:wordWrap/>
        <w:overflowPunct/>
        <w:topLinePunct w:val="0"/>
        <w:bidi w:val="0"/>
        <w:spacing w:line="360" w:lineRule="exact"/>
        <w:textAlignment w:val="auto"/>
        <w:outlineLvl w:val="1"/>
        <w:rPr>
          <w:rFonts w:hint="eastAsia" w:ascii="宋体" w:hAnsi="宋体" w:eastAsia="宋体" w:cs="宋体"/>
          <w:b/>
          <w:color w:val="auto"/>
          <w:sz w:val="21"/>
          <w:szCs w:val="21"/>
          <w:highlight w:val="none"/>
        </w:rPr>
      </w:pPr>
      <w:bookmarkStart w:id="15" w:name="_Toc505091277"/>
      <w:bookmarkStart w:id="16" w:name="_Toc520285006"/>
      <w:bookmarkStart w:id="17" w:name="_Toc16596"/>
      <w:r>
        <w:rPr>
          <w:rFonts w:hint="eastAsia" w:ascii="宋体" w:hAnsi="宋体" w:eastAsia="宋体" w:cs="宋体"/>
          <w:b/>
          <w:color w:val="auto"/>
          <w:sz w:val="21"/>
          <w:szCs w:val="21"/>
          <w:highlight w:val="none"/>
        </w:rPr>
        <w:t>评标办法前附表</w:t>
      </w:r>
      <w:bookmarkEnd w:id="15"/>
      <w:bookmarkEnd w:id="16"/>
      <w:bookmarkEnd w:id="17"/>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36"/>
        <w:gridCol w:w="7002"/>
      </w:tblGrid>
      <w:tr w14:paraId="41EF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2535" w:type="dxa"/>
            <w:gridSpan w:val="2"/>
            <w:tcBorders>
              <w:top w:val="single" w:color="auto" w:sz="12" w:space="0"/>
              <w:left w:val="single" w:color="auto" w:sz="12" w:space="0"/>
            </w:tcBorders>
            <w:vAlign w:val="center"/>
          </w:tcPr>
          <w:p w14:paraId="4A85B4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条款号</w:t>
            </w:r>
          </w:p>
        </w:tc>
        <w:tc>
          <w:tcPr>
            <w:tcW w:w="7002" w:type="dxa"/>
            <w:tcBorders>
              <w:top w:val="single" w:color="auto" w:sz="12" w:space="0"/>
              <w:right w:val="single" w:color="auto" w:sz="12" w:space="0"/>
            </w:tcBorders>
            <w:vAlign w:val="center"/>
          </w:tcPr>
          <w:p w14:paraId="7AAC2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评审因素与标准</w:t>
            </w:r>
          </w:p>
        </w:tc>
      </w:tr>
      <w:tr w14:paraId="0C9A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7D93659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636" w:type="dxa"/>
            <w:vAlign w:val="center"/>
          </w:tcPr>
          <w:p w14:paraId="4AB4112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02" w:type="dxa"/>
            <w:tcBorders>
              <w:right w:val="single" w:color="auto" w:sz="12" w:space="0"/>
            </w:tcBorders>
            <w:vAlign w:val="center"/>
          </w:tcPr>
          <w:p w14:paraId="6361312A">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315" w:firstLine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评标价相等时，按照第一信封的排序规则和结果推荐中标候选人。</w:t>
            </w:r>
          </w:p>
        </w:tc>
      </w:tr>
      <w:tr w14:paraId="6B60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3BC75B2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6F60940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636" w:type="dxa"/>
            <w:vAlign w:val="center"/>
          </w:tcPr>
          <w:p w14:paraId="0CB5C6E6">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w:t>
            </w:r>
            <w:r>
              <w:rPr>
                <w:rFonts w:hint="eastAsia" w:ascii="宋体" w:hAnsi="宋体" w:eastAsia="宋体" w:cs="宋体"/>
                <w:b/>
                <w:color w:val="auto"/>
                <w:sz w:val="21"/>
                <w:szCs w:val="21"/>
                <w:highlight w:val="none"/>
                <w:lang w:val="en-US" w:eastAsia="zh-CN"/>
              </w:rPr>
              <w:t>个</w:t>
            </w:r>
            <w:r>
              <w:rPr>
                <w:rFonts w:hint="eastAsia" w:ascii="宋体" w:hAnsi="宋体" w:eastAsia="宋体" w:cs="宋体"/>
                <w:b/>
                <w:color w:val="auto"/>
                <w:sz w:val="21"/>
                <w:szCs w:val="21"/>
                <w:highlight w:val="none"/>
                <w:lang w:val="zh-CN"/>
              </w:rPr>
              <w:t>信封</w:t>
            </w:r>
          </w:p>
          <w:p w14:paraId="49DA9196">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02" w:type="dxa"/>
            <w:tcBorders>
              <w:right w:val="single" w:color="auto" w:sz="12" w:space="0"/>
            </w:tcBorders>
            <w:vAlign w:val="center"/>
          </w:tcPr>
          <w:p w14:paraId="40A94DB3">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6984756A">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（1）投标文件按照招标文件规定的格式、内容填写，字迹清晰可辨：</w:t>
            </w:r>
          </w:p>
          <w:p w14:paraId="298A6393">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投标函按招标文件规定填报了项目名称、标段号、补遗书编号（如有）、工期、工程质量要求及安全目标；</w:t>
            </w:r>
          </w:p>
          <w:p w14:paraId="1DE4C38A">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投标函附录的所有数据均符合招标文件规定；</w:t>
            </w:r>
          </w:p>
          <w:p w14:paraId="5B455549">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投标文件组成齐全完整，内容均按规定填写。</w:t>
            </w:r>
          </w:p>
          <w:p w14:paraId="52270ECF">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（2）投标文件上法定代表人</w:t>
            </w:r>
            <w:bookmarkStart w:id="18" w:name="_GoBack"/>
            <w:bookmarkEnd w:id="18"/>
            <w:r>
              <w:rPr>
                <w:rStyle w:val="26"/>
                <w:rFonts w:hint="eastAsia" w:ascii="宋体" w:hAnsi="宋体" w:eastAsia="宋体" w:cs="宋体"/>
                <w:color w:val="auto"/>
                <w:sz w:val="21"/>
                <w:szCs w:val="21"/>
                <w:highlight w:val="none"/>
              </w:rPr>
              <w:t>或其委托代理人的签字、投标人的单位章盖章齐全，符合招标文件规定。</w:t>
            </w:r>
          </w:p>
          <w:p w14:paraId="7671CF69">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（3）投标人按照招标文件的规定提供了投标保证金：</w:t>
            </w:r>
          </w:p>
          <w:p w14:paraId="03CDD28B">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a.投标保证金金额符合招标文件规定的金额，且投标保证金有效期不少于投标有效期；</w:t>
            </w:r>
          </w:p>
          <w:p w14:paraId="05DC8C41">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0E339F32">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c.若投标保证金采用保函形式提交，应满足</w:t>
            </w:r>
            <w:r>
              <w:rPr>
                <w:rStyle w:val="26"/>
                <w:rFonts w:hint="eastAsia" w:ascii="宋体" w:hAnsi="宋体" w:eastAsia="宋体" w:cs="宋体"/>
                <w:color w:val="auto"/>
                <w:sz w:val="21"/>
                <w:szCs w:val="21"/>
                <w:highlight w:val="none"/>
                <w:lang w:val="en-US"/>
              </w:rPr>
              <w:t>招标文件</w:t>
            </w:r>
            <w:r>
              <w:rPr>
                <w:rStyle w:val="26"/>
                <w:rFonts w:hint="eastAsia" w:ascii="宋体" w:hAnsi="宋体" w:eastAsia="宋体" w:cs="宋体"/>
                <w:color w:val="auto"/>
                <w:sz w:val="21"/>
                <w:szCs w:val="21"/>
                <w:highlight w:val="none"/>
              </w:rPr>
              <w:t>相关要求。</w:t>
            </w:r>
          </w:p>
          <w:p w14:paraId="1D5B589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3F094E4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（5）投标人法定代表人亲自签署投标文件的，提供了法定代表人身份证明，且法定代表人在法定代表人身份证明上签名。</w:t>
            </w:r>
          </w:p>
          <w:p w14:paraId="636D7E07">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（6）</w:t>
            </w:r>
            <w:r>
              <w:rPr>
                <w:rStyle w:val="20"/>
                <w:rFonts w:hint="eastAsia" w:ascii="宋体" w:hAnsi="宋体" w:eastAsia="宋体" w:cs="宋体"/>
                <w:color w:val="auto"/>
                <w:sz w:val="21"/>
                <w:szCs w:val="21"/>
                <w:shd w:val="clear" w:color="auto" w:fill="auto"/>
              </w:rPr>
              <w:t>投标人以联合体形式投标时，投标人按照招标文件提供的格式签订了联合体协议书，明确各方承担连带责任，并明确了联合体牵头人</w:t>
            </w:r>
            <w:r>
              <w:rPr>
                <w:rStyle w:val="20"/>
                <w:rFonts w:hint="eastAsia" w:ascii="宋体" w:hAnsi="宋体" w:eastAsia="宋体" w:cs="宋体"/>
                <w:color w:val="auto"/>
                <w:sz w:val="21"/>
                <w:szCs w:val="21"/>
                <w:shd w:val="clear" w:color="auto" w:fill="auto"/>
                <w:lang w:eastAsia="zh-CN"/>
              </w:rPr>
              <w:t>。</w:t>
            </w:r>
          </w:p>
          <w:p w14:paraId="27B84A7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green"/>
              </w:rPr>
            </w:pPr>
            <w:r>
              <w:rPr>
                <w:rFonts w:hint="eastAsia" w:ascii="宋体" w:hAnsi="宋体" w:eastAsia="宋体" w:cs="宋体"/>
                <w:sz w:val="21"/>
                <w:szCs w:val="21"/>
              </w:rPr>
              <w:t>（</w:t>
            </w:r>
            <w:r>
              <w:rPr>
                <w:rFonts w:hint="eastAsia" w:ascii="宋体" w:hAnsi="宋体" w:eastAsia="宋体" w:cs="宋体"/>
                <w:sz w:val="21"/>
                <w:szCs w:val="21"/>
                <w:highlight w:val="none"/>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1D3A15C9">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（8）同一投标人未提交两个以上不同的投标文件，但招标文件要求提交备选投标的除外。</w:t>
            </w:r>
          </w:p>
          <w:p w14:paraId="196008C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（9）投标文件中未出现有关投标报价的内容。</w:t>
            </w:r>
          </w:p>
          <w:p w14:paraId="1C4C2361">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（10）投标文件载明的招标项目完成期限未超过招标文件规定的时限。</w:t>
            </w:r>
          </w:p>
          <w:p w14:paraId="4A1D7FB9">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14:paraId="492AB06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1E20C72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565AF5D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433E83F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14:paraId="4F92BC2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7E62946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4532E373">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tc>
      </w:tr>
      <w:tr w14:paraId="6930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724D0EE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636" w:type="dxa"/>
            <w:vAlign w:val="center"/>
          </w:tcPr>
          <w:p w14:paraId="17D05EC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3DECC71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02" w:type="dxa"/>
            <w:tcBorders>
              <w:right w:val="single" w:color="auto" w:sz="12" w:space="0"/>
            </w:tcBorders>
            <w:vAlign w:val="center"/>
          </w:tcPr>
          <w:p w14:paraId="1E1921E6">
            <w:pPr>
              <w:keepNext w:val="0"/>
              <w:keepLines w:val="0"/>
              <w:pageBreakBefore w:val="0"/>
              <w:widowControl w:val="0"/>
              <w:tabs>
                <w:tab w:val="left" w:pos="0"/>
              </w:tabs>
              <w:kinsoku/>
              <w:wordWrap/>
              <w:overflowPunct/>
              <w:topLinePunct w:val="0"/>
              <w:bidi w:val="0"/>
              <w:adjustRightInd w:val="0"/>
              <w:snapToGrid w:val="0"/>
              <w:spacing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0C7D9E2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14:paraId="543C64D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a.投标函按招标文件规定填报了项目名称、标段号、补遗书编号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、投标价（包括大写金额和小写金额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6BE695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b.已标价工程量清单说明文字与招标文件规定一致，未进行实质性修改和删减；</w:t>
            </w:r>
          </w:p>
          <w:p w14:paraId="7AC28E2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26C9CD21">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5D6E5BA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（3）投标报价未超过招标文件设定的最高投标限价。</w:t>
            </w:r>
          </w:p>
          <w:p w14:paraId="5A31C81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（4）投标报价中报价的大写金额能够确定具体数值。</w:t>
            </w:r>
          </w:p>
          <w:p w14:paraId="5195A78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（5）同一投标人未提交两个以上不同的投标报价，但招标文件要求提交备选投标的除外。</w:t>
            </w:r>
          </w:p>
          <w:p w14:paraId="13B2560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（6）投标人未提交调价函。</w:t>
            </w:r>
          </w:p>
          <w:p w14:paraId="5DB9B42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（7）投标人若填写工程量固化清单，填写完毕的工程量固化清单未对工程量固化清单电子文件中的数据、格式和运算定义进行修改；工程量固化清单中的投标报价和投标函大写金额报价一致。</w:t>
            </w:r>
          </w:p>
        </w:tc>
      </w:tr>
      <w:tr w14:paraId="4B26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150F3AA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636" w:type="dxa"/>
            <w:vAlign w:val="center"/>
          </w:tcPr>
          <w:p w14:paraId="7726BD06">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02" w:type="dxa"/>
            <w:tcBorders>
              <w:right w:val="single" w:color="auto" w:sz="12" w:space="0"/>
            </w:tcBorders>
            <w:vAlign w:val="center"/>
          </w:tcPr>
          <w:p w14:paraId="2DA5CAD4">
            <w:pPr>
              <w:pStyle w:val="27"/>
              <w:keepNext w:val="0"/>
              <w:keepLines w:val="0"/>
              <w:pageBreakBefore w:val="0"/>
              <w:widowControl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sz w:val="21"/>
                <w:szCs w:val="21"/>
                <w:highlight w:val="none"/>
                <w:lang w:val="en-US" w:eastAsia="zh-CN"/>
              </w:rPr>
              <w:t>投标人具备有效的营业执照、资质证书、安全生产许可证和基本账户开户证明材料。</w:t>
            </w:r>
          </w:p>
          <w:p w14:paraId="78894ECE">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val="en-US" w:eastAsia="zh-CN"/>
              </w:rPr>
              <w:t>投标人的资质等级符合招标文件规定。</w:t>
            </w:r>
          </w:p>
          <w:p w14:paraId="54CBED5A">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val="en-US" w:eastAsia="zh-CN"/>
              </w:rPr>
              <w:t>投标人的财务状况符合招标文件规定。</w:t>
            </w:r>
          </w:p>
          <w:p w14:paraId="0C9C2445">
            <w:pPr>
              <w:pStyle w:val="27"/>
              <w:keepNext w:val="0"/>
              <w:keepLines w:val="0"/>
              <w:pageBreakBefore w:val="0"/>
              <w:widowControl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（4）投标人的类似项目业绩符合招标文件规定。</w:t>
            </w:r>
          </w:p>
          <w:p w14:paraId="08DCDB56">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（5）投标人的信誉符合招标文件规定</w:t>
            </w:r>
            <w:r>
              <w:rPr>
                <w:rFonts w:hint="eastAsia" w:ascii="宋体" w:hAnsi="宋体" w:eastAsia="宋体" w:cs="宋体"/>
                <w:color w:val="auto"/>
                <w:sz w:val="21"/>
                <w:szCs w:val="21"/>
                <w:highlight w:val="none"/>
                <w:lang w:eastAsia="zh-CN"/>
              </w:rPr>
              <w:t>。</w:t>
            </w:r>
          </w:p>
          <w:p w14:paraId="1C6A4A40">
            <w:pPr>
              <w:pStyle w:val="25"/>
              <w:keepNext w:val="0"/>
              <w:keepLines w:val="0"/>
              <w:pageBreakBefore w:val="0"/>
              <w:widowControl w:val="0"/>
              <w:shd w:val="clear" w:color="auto" w:fill="auto"/>
              <w:tabs>
                <w:tab w:val="left" w:pos="1068"/>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（6）投标人的项目经理和项目总工资格、在岗情况符合招标文件规定。</w:t>
            </w:r>
          </w:p>
          <w:p w14:paraId="495E815F">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（7）投标人不存在第二章“投标人须知”第1.4.3项或第1.4.4项规定的任何一种情形。</w:t>
            </w:r>
          </w:p>
          <w:p w14:paraId="445BB9BE">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lang w:val="en-US"/>
              </w:rPr>
            </w:pPr>
            <w:r>
              <w:rPr>
                <w:rStyle w:val="26"/>
                <w:rFonts w:hint="eastAsia" w:ascii="宋体" w:hAnsi="宋体" w:eastAsia="宋体" w:cs="宋体"/>
                <w:color w:val="auto"/>
                <w:sz w:val="21"/>
                <w:szCs w:val="21"/>
              </w:rPr>
              <w:t>（</w:t>
            </w:r>
            <w:r>
              <w:rPr>
                <w:rStyle w:val="26"/>
                <w:rFonts w:hint="eastAsia" w:ascii="宋体" w:hAnsi="宋体" w:eastAsia="宋体" w:cs="宋体"/>
                <w:color w:val="auto"/>
                <w:sz w:val="21"/>
                <w:szCs w:val="21"/>
                <w:lang w:val="en-US"/>
              </w:rPr>
              <w:t>8</w:t>
            </w:r>
            <w:r>
              <w:rPr>
                <w:rStyle w:val="26"/>
                <w:rFonts w:hint="eastAsia" w:ascii="宋体" w:hAnsi="宋体" w:eastAsia="宋体" w:cs="宋体"/>
                <w:color w:val="auto"/>
                <w:sz w:val="21"/>
                <w:szCs w:val="21"/>
              </w:rPr>
              <w:t>）以联合体形式参与投标的，联合体各方均未再以自己名义单独或参加其他联合体在同一标段中投标。</w:t>
            </w:r>
          </w:p>
        </w:tc>
      </w:tr>
      <w:tr w14:paraId="6F8F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03E5854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636" w:type="dxa"/>
            <w:vAlign w:val="center"/>
          </w:tcPr>
          <w:p w14:paraId="601CA35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3C2FEBD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5D5DA0B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（总分100分）</w:t>
            </w:r>
          </w:p>
        </w:tc>
        <w:tc>
          <w:tcPr>
            <w:tcW w:w="7002" w:type="dxa"/>
            <w:tcBorders>
              <w:right w:val="single" w:color="auto" w:sz="12" w:space="0"/>
            </w:tcBorders>
            <w:vAlign w:val="center"/>
          </w:tcPr>
          <w:p w14:paraId="53F554B4">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施工组织设计：40分；</w:t>
            </w:r>
          </w:p>
          <w:p w14:paraId="7AF9C384">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7831062D">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其他评分因素：35分。</w:t>
            </w:r>
          </w:p>
        </w:tc>
      </w:tr>
      <w:tr w14:paraId="3AE5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1B9D0B4F">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636" w:type="dxa"/>
            <w:vAlign w:val="center"/>
          </w:tcPr>
          <w:p w14:paraId="20C25330">
            <w:pPr>
              <w:keepNext w:val="0"/>
              <w:keepLines w:val="0"/>
              <w:pageBreakBefore w:val="0"/>
              <w:widowControl w:val="0"/>
              <w:kinsoku/>
              <w:wordWrap/>
              <w:overflowPunct/>
              <w:topLinePunct w:val="0"/>
              <w:autoSpaceDE w:val="0"/>
              <w:autoSpaceDN w:val="0"/>
              <w:bidi w:val="0"/>
              <w:adjustRightInd w:val="0"/>
              <w:snapToGrid/>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02" w:type="dxa"/>
            <w:tcBorders>
              <w:right w:val="single" w:color="auto" w:sz="12" w:space="0"/>
            </w:tcBorders>
            <w:vAlign w:val="center"/>
          </w:tcPr>
          <w:p w14:paraId="13CF5C62">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10AE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5574CF9C">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636" w:type="dxa"/>
            <w:tcBorders>
              <w:bottom w:val="single" w:color="auto" w:sz="12" w:space="0"/>
            </w:tcBorders>
            <w:vAlign w:val="center"/>
          </w:tcPr>
          <w:p w14:paraId="5471B291">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02" w:type="dxa"/>
            <w:tcBorders>
              <w:bottom w:val="single" w:color="auto" w:sz="12" w:space="0"/>
              <w:right w:val="single" w:color="auto" w:sz="12" w:space="0"/>
            </w:tcBorders>
            <w:vAlign w:val="center"/>
          </w:tcPr>
          <w:p w14:paraId="0E03AD9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按投标人商务和技术得分由高到低排序，选择前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3 </w:t>
            </w:r>
            <w:r>
              <w:rPr>
                <w:rFonts w:hint="eastAsia" w:ascii="宋体" w:hAnsi="宋体" w:eastAsia="宋体" w:cs="宋体"/>
                <w:color w:val="auto"/>
                <w:sz w:val="21"/>
                <w:szCs w:val="21"/>
                <w:highlight w:val="none"/>
              </w:rPr>
              <w:t>名通过详细评审。</w:t>
            </w:r>
          </w:p>
          <w:p w14:paraId="34AC8604">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如同一标段出现多名投标人的第一信封（商务及技术文件）综合评分相等时，则按照以下所列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在前的优先：</w:t>
            </w:r>
          </w:p>
          <w:p w14:paraId="78CE75A5">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a.信用评价得分较高者；</w:t>
            </w:r>
          </w:p>
          <w:p w14:paraId="0E7508DB">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b.主要人员得分较高者；</w:t>
            </w:r>
          </w:p>
          <w:p w14:paraId="542C2278">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c.施工组织设计得分较高者；</w:t>
            </w:r>
          </w:p>
          <w:p w14:paraId="33F8B037">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p>
        </w:tc>
      </w:tr>
    </w:tbl>
    <w:p w14:paraId="4B0BFA5B">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14"/>
        <w:gridCol w:w="675"/>
        <w:gridCol w:w="945"/>
        <w:gridCol w:w="1845"/>
        <w:gridCol w:w="855"/>
        <w:gridCol w:w="4303"/>
      </w:tblGrid>
      <w:tr w14:paraId="65654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5234" w:type="dxa"/>
            <w:gridSpan w:val="5"/>
            <w:tcBorders>
              <w:tl2br w:val="nil"/>
              <w:tr2bl w:val="nil"/>
            </w:tcBorders>
            <w:vAlign w:val="center"/>
          </w:tcPr>
          <w:p w14:paraId="3E3E432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评分因素与权重分值</w:t>
            </w:r>
            <w:r>
              <w:rPr>
                <w:rFonts w:hint="eastAsia" w:ascii="宋体" w:hAnsi="宋体" w:eastAsia="宋体" w:cs="宋体"/>
                <w:b/>
                <w:bCs/>
                <w:color w:val="auto"/>
                <w:sz w:val="21"/>
                <w:szCs w:val="21"/>
                <w:highlight w:val="none"/>
                <w:vertAlign w:val="superscript"/>
              </w:rPr>
              <w:footnoteReference w:id="4"/>
            </w:r>
          </w:p>
        </w:tc>
        <w:tc>
          <w:tcPr>
            <w:tcW w:w="4303" w:type="dxa"/>
            <w:vMerge w:val="restart"/>
            <w:tcBorders>
              <w:tl2br w:val="nil"/>
              <w:tr2bl w:val="nil"/>
            </w:tcBorders>
            <w:vAlign w:val="center"/>
          </w:tcPr>
          <w:p w14:paraId="5CF186D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14:paraId="18E57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914" w:type="dxa"/>
            <w:tcBorders>
              <w:tl2br w:val="nil"/>
              <w:tr2bl w:val="nil"/>
            </w:tcBorders>
            <w:vAlign w:val="center"/>
          </w:tcPr>
          <w:p w14:paraId="78353CD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675" w:type="dxa"/>
            <w:tcBorders>
              <w:tl2br w:val="nil"/>
              <w:tr2bl w:val="nil"/>
            </w:tcBorders>
            <w:vAlign w:val="center"/>
          </w:tcPr>
          <w:p w14:paraId="3435A0F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因素</w:t>
            </w:r>
          </w:p>
        </w:tc>
        <w:tc>
          <w:tcPr>
            <w:tcW w:w="945" w:type="dxa"/>
            <w:tcBorders>
              <w:tl2br w:val="nil"/>
              <w:tr2bl w:val="nil"/>
            </w:tcBorders>
            <w:vAlign w:val="center"/>
          </w:tcPr>
          <w:p w14:paraId="3524E6B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权重分值</w:t>
            </w:r>
          </w:p>
        </w:tc>
        <w:tc>
          <w:tcPr>
            <w:tcW w:w="1845" w:type="dxa"/>
            <w:tcBorders>
              <w:tl2br w:val="nil"/>
              <w:tr2bl w:val="nil"/>
            </w:tcBorders>
            <w:vAlign w:val="center"/>
          </w:tcPr>
          <w:p w14:paraId="4A71C9F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各评分因素细分项</w:t>
            </w:r>
          </w:p>
        </w:tc>
        <w:tc>
          <w:tcPr>
            <w:tcW w:w="855" w:type="dxa"/>
            <w:tcBorders>
              <w:tl2br w:val="nil"/>
              <w:tr2bl w:val="nil"/>
            </w:tcBorders>
            <w:vAlign w:val="center"/>
          </w:tcPr>
          <w:p w14:paraId="4F72A7D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303" w:type="dxa"/>
            <w:vMerge w:val="continue"/>
            <w:tcBorders>
              <w:tl2br w:val="nil"/>
              <w:tr2bl w:val="nil"/>
            </w:tcBorders>
            <w:vAlign w:val="center"/>
          </w:tcPr>
          <w:p w14:paraId="5241D76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28D45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0FBEE9D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2.2.2（1）</w:t>
            </w:r>
          </w:p>
        </w:tc>
        <w:tc>
          <w:tcPr>
            <w:tcW w:w="675" w:type="dxa"/>
            <w:vMerge w:val="restart"/>
            <w:tcBorders>
              <w:tl2br w:val="nil"/>
              <w:tr2bl w:val="nil"/>
            </w:tcBorders>
            <w:vAlign w:val="center"/>
          </w:tcPr>
          <w:p w14:paraId="16EFC59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945" w:type="dxa"/>
            <w:vMerge w:val="restart"/>
            <w:tcBorders>
              <w:tl2br w:val="nil"/>
              <w:tr2bl w:val="nil"/>
            </w:tcBorders>
            <w:vAlign w:val="center"/>
          </w:tcPr>
          <w:p w14:paraId="7C033BC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40分</w:t>
            </w:r>
          </w:p>
        </w:tc>
        <w:tc>
          <w:tcPr>
            <w:tcW w:w="1845" w:type="dxa"/>
            <w:vMerge w:val="restart"/>
            <w:tcBorders>
              <w:tl2br w:val="nil"/>
              <w:tr2bl w:val="nil"/>
            </w:tcBorders>
            <w:vAlign w:val="center"/>
          </w:tcPr>
          <w:p w14:paraId="0368B19C">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总体施工组织布置及规划</w:t>
            </w:r>
          </w:p>
        </w:tc>
        <w:tc>
          <w:tcPr>
            <w:tcW w:w="855" w:type="dxa"/>
            <w:vMerge w:val="restart"/>
            <w:tcBorders>
              <w:tl2br w:val="nil"/>
              <w:tr2bl w:val="nil"/>
            </w:tcBorders>
            <w:vAlign w:val="center"/>
          </w:tcPr>
          <w:p w14:paraId="53DBA7B4">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67301343">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shd w:val="clear" w:color="auto" w:fill="FFFFFF"/>
              </w:rPr>
              <w:t>按招标文件要求编制总体布置及规划</w:t>
            </w:r>
            <w:r>
              <w:rPr>
                <w:rFonts w:hint="eastAsia" w:ascii="宋体" w:hAnsi="宋体" w:eastAsia="宋体" w:cs="宋体"/>
                <w:kern w:val="0"/>
                <w:sz w:val="21"/>
                <w:szCs w:val="21"/>
              </w:rPr>
              <w:t>得6.0分，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酌情加分，最高加4.0分。</w:t>
            </w:r>
          </w:p>
        </w:tc>
      </w:tr>
      <w:tr w14:paraId="38F8F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2E1A6F0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820468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F37E61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57C920A2">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主要工程项目的施工方案、方法与技术措施</w:t>
            </w:r>
          </w:p>
        </w:tc>
        <w:tc>
          <w:tcPr>
            <w:tcW w:w="855" w:type="dxa"/>
            <w:vMerge w:val="restart"/>
            <w:tcBorders>
              <w:tl2br w:val="nil"/>
              <w:tr2bl w:val="nil"/>
            </w:tcBorders>
            <w:vAlign w:val="center"/>
          </w:tcPr>
          <w:p w14:paraId="6AACC824">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61A18BCB">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shd w:val="clear" w:color="auto" w:fill="FFFFFF"/>
              </w:rPr>
              <w:t>按招标文件要求编制主要工程项目的施工方案、方法与技术措施</w:t>
            </w:r>
            <w:r>
              <w:rPr>
                <w:rFonts w:hint="eastAsia" w:ascii="宋体" w:hAnsi="宋体" w:eastAsia="宋体" w:cs="宋体"/>
                <w:kern w:val="0"/>
                <w:sz w:val="21"/>
                <w:szCs w:val="21"/>
              </w:rPr>
              <w:t>得9.0分，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酌情加分，最高加6.0分。</w:t>
            </w:r>
          </w:p>
        </w:tc>
      </w:tr>
      <w:tr w14:paraId="0D6F1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6350442">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E7A368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A9EF0E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43364F30">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各类</w:t>
            </w:r>
            <w:r>
              <w:rPr>
                <w:rFonts w:hint="eastAsia" w:ascii="宋体" w:hAnsi="宋体" w:eastAsia="宋体" w:cs="宋体"/>
                <w:bCs/>
                <w:color w:val="auto"/>
                <w:sz w:val="21"/>
                <w:szCs w:val="21"/>
                <w:highlight w:val="none"/>
                <w:lang w:val="zh-CN"/>
              </w:rPr>
              <w:t>保证体系及保证措施</w:t>
            </w:r>
          </w:p>
        </w:tc>
        <w:tc>
          <w:tcPr>
            <w:tcW w:w="855" w:type="dxa"/>
            <w:vMerge w:val="restart"/>
            <w:tcBorders>
              <w:tl2br w:val="nil"/>
              <w:tr2bl w:val="nil"/>
            </w:tcBorders>
            <w:vAlign w:val="center"/>
          </w:tcPr>
          <w:p w14:paraId="4FFD08C0">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45AD6D9C">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shd w:val="clear" w:color="auto" w:fill="FFFFFF"/>
              </w:rPr>
              <w:t>按招标文件要求编制工期、质量、安全生产、文明施工等保证体系及措施</w:t>
            </w:r>
            <w:r>
              <w:rPr>
                <w:rFonts w:hint="eastAsia" w:ascii="宋体" w:hAnsi="宋体" w:eastAsia="宋体" w:cs="宋体"/>
                <w:kern w:val="0"/>
                <w:sz w:val="21"/>
                <w:szCs w:val="21"/>
              </w:rPr>
              <w:t>得6.0分，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酌情加分，最高加4.0分。</w:t>
            </w:r>
          </w:p>
        </w:tc>
      </w:tr>
      <w:tr w14:paraId="3CF72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75CD83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FF6D3B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58FDAA5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7FFFA7E8">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855" w:type="dxa"/>
            <w:tcBorders>
              <w:tl2br w:val="nil"/>
              <w:tr2bl w:val="nil"/>
            </w:tcBorders>
            <w:vAlign w:val="center"/>
          </w:tcPr>
          <w:p w14:paraId="16E7CFD9">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303" w:type="dxa"/>
            <w:tcBorders>
              <w:tl2br w:val="nil"/>
              <w:tr2bl w:val="nil"/>
            </w:tcBorders>
            <w:vAlign w:val="top"/>
          </w:tcPr>
          <w:p w14:paraId="2CE79AC1">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shd w:val="clear" w:color="auto" w:fill="FFFFFF"/>
              </w:rPr>
              <w:t>按招标文件要求编制事故应急预案</w:t>
            </w:r>
            <w:r>
              <w:rPr>
                <w:rFonts w:hint="eastAsia" w:ascii="宋体" w:hAnsi="宋体" w:eastAsia="宋体" w:cs="宋体"/>
                <w:kern w:val="0"/>
                <w:sz w:val="21"/>
                <w:szCs w:val="21"/>
              </w:rPr>
              <w:t>得3.0分，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酌情加分，最高加2.0分。</w:t>
            </w:r>
          </w:p>
        </w:tc>
      </w:tr>
      <w:tr w14:paraId="11C4B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3242423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2.2.2（2）</w:t>
            </w:r>
          </w:p>
        </w:tc>
        <w:tc>
          <w:tcPr>
            <w:tcW w:w="675" w:type="dxa"/>
            <w:vMerge w:val="restart"/>
            <w:tcBorders>
              <w:tl2br w:val="nil"/>
              <w:tr2bl w:val="nil"/>
            </w:tcBorders>
            <w:vAlign w:val="center"/>
          </w:tcPr>
          <w:p w14:paraId="1A8FD00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2579D46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5" w:type="dxa"/>
            <w:vMerge w:val="restart"/>
            <w:tcBorders>
              <w:tl2br w:val="nil"/>
              <w:tr2bl w:val="nil"/>
            </w:tcBorders>
            <w:vAlign w:val="center"/>
          </w:tcPr>
          <w:p w14:paraId="2EB1327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25分</w:t>
            </w:r>
          </w:p>
        </w:tc>
        <w:tc>
          <w:tcPr>
            <w:tcW w:w="1845" w:type="dxa"/>
            <w:tcBorders>
              <w:tl2br w:val="nil"/>
              <w:tr2bl w:val="nil"/>
            </w:tcBorders>
            <w:vAlign w:val="center"/>
          </w:tcPr>
          <w:p w14:paraId="75EE944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297A7DA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39B3F5C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5486621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满足最低资格审查条件要求，得9分。</w:t>
            </w:r>
          </w:p>
          <w:p w14:paraId="5D2A0D60">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在满足最低要求的基础上，每提供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项二级（含）以上公路沥青混凝土路面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原大中修工程、路面改造</w:t>
            </w:r>
            <w:r>
              <w:rPr>
                <w:rFonts w:hint="eastAsia" w:ascii="宋体" w:hAnsi="宋体" w:eastAsia="宋体" w:cs="宋体"/>
                <w:color w:val="auto"/>
                <w:sz w:val="21"/>
                <w:szCs w:val="21"/>
                <w:highlight w:val="none"/>
              </w:rPr>
              <w:t>工程或路面提质工程</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sz w:val="21"/>
                <w:szCs w:val="21"/>
                <w:highlight w:val="none"/>
              </w:rPr>
              <w:t>施工的项目经理业绩加6分，最多加6分。</w:t>
            </w:r>
          </w:p>
        </w:tc>
      </w:tr>
      <w:tr w14:paraId="3463C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68A77D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5FB959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537835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6171439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p w14:paraId="0948C07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3516409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2B48D48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满足最低资格审查条件要求，得6分。</w:t>
            </w:r>
          </w:p>
          <w:p w14:paraId="0183B80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在满足最低要求的基础上，每提供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项二级（含）以上公路沥青混凝土路面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原大中修工程、路面改造</w:t>
            </w:r>
            <w:r>
              <w:rPr>
                <w:rFonts w:hint="eastAsia" w:ascii="宋体" w:hAnsi="宋体" w:eastAsia="宋体" w:cs="宋体"/>
                <w:color w:val="auto"/>
                <w:sz w:val="21"/>
                <w:szCs w:val="21"/>
                <w:highlight w:val="none"/>
              </w:rPr>
              <w:t>工程或路面提质工程</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sz w:val="21"/>
                <w:szCs w:val="21"/>
                <w:highlight w:val="none"/>
              </w:rPr>
              <w:t>施工的项目总工业绩加4分，最多加4分。</w:t>
            </w:r>
          </w:p>
        </w:tc>
      </w:tr>
      <w:tr w14:paraId="32897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26497BC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p>
        </w:tc>
        <w:tc>
          <w:tcPr>
            <w:tcW w:w="675" w:type="dxa"/>
            <w:vMerge w:val="restart"/>
            <w:tcBorders>
              <w:tl2br w:val="nil"/>
              <w:tr2bl w:val="nil"/>
            </w:tcBorders>
            <w:vAlign w:val="center"/>
          </w:tcPr>
          <w:p w14:paraId="4D375F1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w:t>
            </w:r>
          </w:p>
        </w:tc>
        <w:tc>
          <w:tcPr>
            <w:tcW w:w="945" w:type="dxa"/>
            <w:vMerge w:val="restart"/>
            <w:tcBorders>
              <w:tl2br w:val="nil"/>
              <w:tr2bl w:val="nil"/>
            </w:tcBorders>
            <w:vAlign w:val="center"/>
          </w:tcPr>
          <w:p w14:paraId="21B8301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1845" w:type="dxa"/>
            <w:vMerge w:val="restart"/>
            <w:tcBorders>
              <w:tl2br w:val="nil"/>
              <w:tr2bl w:val="nil"/>
            </w:tcBorders>
            <w:vAlign w:val="center"/>
          </w:tcPr>
          <w:p w14:paraId="5C1755A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企业业绩</w:t>
            </w:r>
          </w:p>
        </w:tc>
        <w:tc>
          <w:tcPr>
            <w:tcW w:w="855" w:type="dxa"/>
            <w:vMerge w:val="restart"/>
            <w:tcBorders>
              <w:tl2br w:val="nil"/>
              <w:tr2bl w:val="nil"/>
            </w:tcBorders>
            <w:vAlign w:val="center"/>
          </w:tcPr>
          <w:p w14:paraId="0832CF6C">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20分</w:t>
            </w:r>
          </w:p>
        </w:tc>
        <w:tc>
          <w:tcPr>
            <w:tcW w:w="4303" w:type="dxa"/>
            <w:tcBorders>
              <w:tl2br w:val="nil"/>
              <w:tr2bl w:val="nil"/>
            </w:tcBorders>
            <w:vAlign w:val="center"/>
          </w:tcPr>
          <w:p w14:paraId="4BB8EF5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投标人通过初步评审得12分。</w:t>
            </w:r>
          </w:p>
        </w:tc>
      </w:tr>
      <w:tr w14:paraId="5516A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1676983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C08B19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1CA96A3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shd w:val="clear" w:color="auto" w:fill="auto"/>
            <w:vAlign w:val="center"/>
          </w:tcPr>
          <w:p w14:paraId="72A1A5D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855" w:type="dxa"/>
            <w:vMerge w:val="continue"/>
            <w:tcBorders>
              <w:tl2br w:val="nil"/>
              <w:tr2bl w:val="nil"/>
            </w:tcBorders>
            <w:shd w:val="clear" w:color="auto" w:fill="auto"/>
            <w:vAlign w:val="center"/>
          </w:tcPr>
          <w:p w14:paraId="4A2C004D">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4303" w:type="dxa"/>
            <w:tcBorders>
              <w:tl2br w:val="nil"/>
              <w:tr2bl w:val="nil"/>
            </w:tcBorders>
            <w:shd w:val="clear" w:color="auto" w:fill="auto"/>
            <w:vAlign w:val="center"/>
          </w:tcPr>
          <w:p w14:paraId="201DB4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近五年内（指202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年1月1日至投标截止时间，两阶段验收工程以交工时间为准，一阶段验收工程以竣工时间为准</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累计</w:t>
            </w:r>
            <w:r>
              <w:rPr>
                <w:rFonts w:hint="eastAsia" w:ascii="宋体" w:hAnsi="宋体" w:eastAsia="宋体" w:cs="宋体"/>
                <w:color w:val="auto"/>
                <w:sz w:val="21"/>
                <w:szCs w:val="21"/>
                <w:highlight w:val="none"/>
                <w:shd w:val="clear" w:color="auto" w:fill="FFFFFF"/>
              </w:rPr>
              <w:t>完成过</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rPr>
              <w:t>二级（含）以上</w:t>
            </w:r>
            <w:r>
              <w:rPr>
                <w:rFonts w:hint="eastAsia" w:ascii="宋体" w:hAnsi="宋体" w:eastAsia="宋体" w:cs="宋体"/>
                <w:color w:val="auto"/>
                <w:sz w:val="21"/>
                <w:szCs w:val="21"/>
                <w:highlight w:val="none"/>
                <w:shd w:val="clear" w:color="auto" w:fill="FFFFFF"/>
              </w:rPr>
              <w:t>公路沥青混凝土路面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原大中修工程、路面改造</w:t>
            </w:r>
            <w:r>
              <w:rPr>
                <w:rFonts w:hint="eastAsia" w:ascii="宋体" w:hAnsi="宋体" w:eastAsia="宋体" w:cs="宋体"/>
                <w:color w:val="auto"/>
                <w:sz w:val="21"/>
                <w:szCs w:val="21"/>
                <w:highlight w:val="none"/>
              </w:rPr>
              <w:t>工程或路面提质工程</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的施工业绩（高速公路、一级公路全幅按2倍长度计算，半幅按1倍长度计算）</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5公里得分按照0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8分之间</w:t>
            </w:r>
            <w:r>
              <w:rPr>
                <w:rFonts w:hint="eastAsia" w:ascii="宋体" w:hAnsi="宋体" w:eastAsia="宋体" w:cs="宋体"/>
                <w:color w:val="auto"/>
                <w:sz w:val="21"/>
                <w:szCs w:val="21"/>
                <w:highlight w:val="none"/>
              </w:rPr>
              <w:t>内插计算（保留两位小数）。</w:t>
            </w:r>
          </w:p>
          <w:p w14:paraId="2F04F4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注：联合体投标的，按照联合体牵头人的业绩数量计算。</w:t>
            </w:r>
          </w:p>
        </w:tc>
      </w:tr>
      <w:tr w14:paraId="13AE2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0A5AF1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90B8B9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A59FF5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3FD1E2B4">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w:t>
            </w:r>
          </w:p>
        </w:tc>
        <w:tc>
          <w:tcPr>
            <w:tcW w:w="855" w:type="dxa"/>
            <w:tcBorders>
              <w:tl2br w:val="nil"/>
              <w:tr2bl w:val="nil"/>
            </w:tcBorders>
            <w:vAlign w:val="center"/>
          </w:tcPr>
          <w:p w14:paraId="37C202C3">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4A919930">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信用评价AA级，得15分。</w:t>
            </w:r>
          </w:p>
        </w:tc>
      </w:tr>
      <w:tr w14:paraId="3DFB6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187FBCA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6058799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0AE9AC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2073D7AA">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4BBB8FE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c>
          <w:tcPr>
            <w:tcW w:w="4303" w:type="dxa"/>
            <w:tcBorders>
              <w:tl2br w:val="nil"/>
              <w:tr2bl w:val="nil"/>
            </w:tcBorders>
            <w:vAlign w:val="center"/>
          </w:tcPr>
          <w:p w14:paraId="7317212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信用评价A级，得12分。</w:t>
            </w:r>
          </w:p>
        </w:tc>
      </w:tr>
      <w:tr w14:paraId="69563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65E9A97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F2EB40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FA0623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AFA9DBB">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3A1FB0B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9分</w:t>
            </w:r>
          </w:p>
        </w:tc>
        <w:tc>
          <w:tcPr>
            <w:tcW w:w="4303" w:type="dxa"/>
            <w:tcBorders>
              <w:tl2br w:val="nil"/>
              <w:tr2bl w:val="nil"/>
            </w:tcBorders>
            <w:vAlign w:val="center"/>
          </w:tcPr>
          <w:p w14:paraId="649E679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信用评价B级，得9分。</w:t>
            </w:r>
          </w:p>
        </w:tc>
      </w:tr>
      <w:tr w14:paraId="33B45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054649C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D5BB15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8F2728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5425B79">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38C432B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4303" w:type="dxa"/>
            <w:tcBorders>
              <w:tl2br w:val="nil"/>
              <w:tr2bl w:val="nil"/>
            </w:tcBorders>
            <w:vAlign w:val="center"/>
          </w:tcPr>
          <w:p w14:paraId="0F757D76">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信用评价C级，得6分。</w:t>
            </w:r>
          </w:p>
        </w:tc>
      </w:tr>
      <w:tr w14:paraId="51982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4D5410A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30D264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5513B89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1EB9959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6386909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0分</w:t>
            </w:r>
          </w:p>
        </w:tc>
        <w:tc>
          <w:tcPr>
            <w:tcW w:w="4303" w:type="dxa"/>
            <w:tcBorders>
              <w:tl2br w:val="nil"/>
              <w:tr2bl w:val="nil"/>
            </w:tcBorders>
            <w:vAlign w:val="center"/>
          </w:tcPr>
          <w:p w14:paraId="59C8658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级，得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14:paraId="2B4A0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9513D17">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796A0E26">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29388059">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7003" w:type="dxa"/>
            <w:gridSpan w:val="3"/>
            <w:tcBorders>
              <w:tl2br w:val="nil"/>
              <w:tr2bl w:val="nil"/>
            </w:tcBorders>
            <w:vAlign w:val="center"/>
          </w:tcPr>
          <w:p w14:paraId="763FD45A">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206E923D">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年度普通干线公路养护工程企业信用评价公告》中的投标人信用等级</w:t>
            </w:r>
            <w:r>
              <w:rPr>
                <w:rFonts w:hint="eastAsia" w:ascii="宋体" w:hAnsi="宋体" w:eastAsia="宋体" w:cs="宋体"/>
                <w:color w:val="auto"/>
                <w:sz w:val="21"/>
                <w:szCs w:val="21"/>
                <w:highlight w:val="none"/>
                <w:lang w:eastAsia="zh-CN"/>
              </w:rPr>
              <w:t>；</w:t>
            </w:r>
          </w:p>
          <w:p w14:paraId="002E8FC8">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年度普通干线公路养护工程企业信用评价公告》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含调整结果公告）</w:t>
            </w:r>
            <w:r>
              <w:rPr>
                <w:rFonts w:hint="eastAsia" w:ascii="宋体" w:hAnsi="宋体" w:eastAsia="宋体" w:cs="宋体"/>
                <w:color w:val="auto"/>
                <w:sz w:val="21"/>
                <w:szCs w:val="21"/>
                <w:highlight w:val="none"/>
              </w:rPr>
              <w:t>中的投标人信用等级</w:t>
            </w:r>
            <w:r>
              <w:rPr>
                <w:rFonts w:hint="eastAsia" w:ascii="宋体" w:hAnsi="宋体" w:eastAsia="宋体" w:cs="宋体"/>
                <w:color w:val="auto"/>
                <w:sz w:val="21"/>
                <w:szCs w:val="21"/>
                <w:highlight w:val="none"/>
                <w:lang w:eastAsia="zh-CN"/>
              </w:rPr>
              <w:t>；</w:t>
            </w:r>
          </w:p>
          <w:p w14:paraId="68FC8445">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采用交通运输部“全国公路建设市场监督管理系统/全国公路从业单位信用评价结果”中，投标人的2024年度“施工企业”信用等级；</w:t>
            </w:r>
          </w:p>
          <w:p w14:paraId="4D8E47FA">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w:t>
            </w:r>
            <w:r>
              <w:rPr>
                <w:rFonts w:hint="eastAsia" w:ascii="宋体" w:hAnsi="宋体" w:eastAsia="宋体" w:cs="宋体"/>
                <w:color w:val="auto"/>
                <w:sz w:val="21"/>
                <w:szCs w:val="21"/>
                <w:highlight w:val="none"/>
                <w:lang w:val="en-US" w:eastAsia="zh-CN"/>
              </w:rPr>
              <w:t>上述信用评价的，若未列入交通运输部“全国公路建设市场监督管理系统”中“不良信用记录”的，按A级对待，否则视其严重程度按B级或以下等级对待；</w:t>
            </w:r>
          </w:p>
          <w:p w14:paraId="6A870D7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（5）联合体参与投标的，其信用等级按照联合体中最低等级方认定。</w:t>
            </w:r>
          </w:p>
        </w:tc>
      </w:tr>
      <w:tr w14:paraId="5C002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37" w:type="dxa"/>
            <w:gridSpan w:val="6"/>
            <w:tcBorders>
              <w:tl2br w:val="nil"/>
              <w:tr2bl w:val="nil"/>
            </w:tcBorders>
            <w:vAlign w:val="center"/>
          </w:tcPr>
          <w:p w14:paraId="24FD0B1F">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投标文件的施工组织设计部分采用“暗标”形式，如果施工组织设计出现能识别投标人的内容，经评标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0FF5E818">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p>
    <w:p w14:paraId="4360F9F3">
      <w:pPr>
        <w:keepNext w:val="0"/>
        <w:keepLines w:val="0"/>
        <w:pageBreakBefore w:val="0"/>
        <w:widowControl w:val="0"/>
        <w:kinsoku/>
        <w:wordWrap/>
        <w:overflowPunct/>
        <w:topLinePunct w:val="0"/>
        <w:autoSpaceDE/>
        <w:autoSpaceDN/>
        <w:bidi w:val="0"/>
        <w:adjustRightInd/>
        <w:snapToGrid/>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09D3C166">
      <w:pPr>
        <w:keepLines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招</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标</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人：长白山保护开发区公路服务中心</w:t>
      </w:r>
    </w:p>
    <w:p w14:paraId="458E1991">
      <w:pPr>
        <w:keepLines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地</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址：吉林省延边州安图县二道镇白山大街康乐胡同血站综合楼</w:t>
      </w:r>
    </w:p>
    <w:p w14:paraId="09EBFA2F">
      <w:pPr>
        <w:keepLines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联</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系</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人：</w:t>
      </w:r>
      <w:r>
        <w:rPr>
          <w:rFonts w:hint="eastAsia" w:ascii="宋体" w:hAnsi="宋体" w:eastAsia="宋体" w:cs="宋体"/>
          <w:color w:val="auto"/>
          <w:kern w:val="0"/>
          <w:sz w:val="21"/>
          <w:szCs w:val="21"/>
          <w:highlight w:val="none"/>
          <w:lang w:val="en-US" w:bidi="zh-CN"/>
        </w:rPr>
        <w:t>李大明</w:t>
      </w:r>
    </w:p>
    <w:p w14:paraId="3D665090">
      <w:pPr>
        <w:keepLines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bidi="zh-CN"/>
        </w:rPr>
        <w:t>电</w:t>
      </w:r>
      <w:r>
        <w:rPr>
          <w:rFonts w:hint="eastAsia" w:ascii="宋体" w:hAnsi="宋体" w:eastAsia="宋体" w:cs="宋体"/>
          <w:color w:val="auto"/>
          <w:kern w:val="0"/>
          <w:sz w:val="21"/>
          <w:szCs w:val="21"/>
          <w:highlight w:val="none"/>
          <w:lang w:val="en-US" w:bidi="zh-CN"/>
        </w:rPr>
        <w:t xml:space="preserve">    </w:t>
      </w:r>
      <w:r>
        <w:rPr>
          <w:rFonts w:hint="eastAsia" w:ascii="宋体" w:hAnsi="宋体" w:eastAsia="宋体" w:cs="宋体"/>
          <w:color w:val="auto"/>
          <w:kern w:val="0"/>
          <w:sz w:val="21"/>
          <w:szCs w:val="21"/>
          <w:highlight w:val="none"/>
          <w:lang w:val="zh-CN" w:bidi="zh-CN"/>
        </w:rPr>
        <w:t>话：0433-6179007</w:t>
      </w: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PMingLiU">
    <w:panose1 w:val="02020500000000000000"/>
    <w:charset w:val="88"/>
    <w:family w:val="roman"/>
    <w:pitch w:val="default"/>
    <w:sig w:usb0="A00002FF" w:usb1="28CFFCFA" w:usb2="00000016" w:usb3="00000000" w:csb0="00100001" w:csb1="00000000"/>
  </w:font>
  <w:font w:name="BatangChe">
    <w:panose1 w:val="02030609000101010101"/>
    <w:charset w:val="81"/>
    <w:family w:val="modern"/>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60B1A95">
      <w:pPr>
        <w:pStyle w:val="9"/>
      </w:pPr>
      <w:r>
        <w:rPr>
          <w:rStyle w:val="13"/>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221734B9">
      <w:pPr>
        <w:rPr>
          <w:sz w:val="18"/>
          <w:szCs w:val="18"/>
        </w:rPr>
      </w:pPr>
      <w:r>
        <w:rPr>
          <w:rStyle w:val="13"/>
        </w:rPr>
        <w:footnoteRef/>
      </w:r>
      <w:r>
        <w:rPr>
          <w:rFonts w:hint="eastAsia" w:ascii="宋体" w:hAnsi="宋体" w:cs="宋体"/>
          <w:kern w:val="0"/>
          <w:sz w:val="18"/>
          <w:szCs w:val="18"/>
          <w:lang w:val="zh-CN"/>
        </w:rPr>
        <w:t>本表所列人员不得互相兼职。</w:t>
      </w:r>
    </w:p>
  </w:footnote>
  <w:footnote w:id="2">
    <w:p w14:paraId="19EE4D72">
      <w:pPr>
        <w:pStyle w:val="9"/>
      </w:pPr>
      <w:r>
        <w:rPr>
          <w:rStyle w:val="13"/>
        </w:rPr>
        <w:footnoteRef/>
      </w:r>
      <w:r>
        <w:rPr>
          <w:rFonts w:hint="eastAsia" w:ascii="BatangChe" w:hAnsi="BatangChe"/>
          <w:b w:val="0"/>
          <w:bCs/>
        </w:rPr>
        <w:t>“</w:t>
      </w:r>
      <w:r>
        <w:rPr>
          <w:rFonts w:hint="eastAsia" w:ascii="BatangChe" w:hAnsi="BatangChe"/>
          <w:b w:val="0"/>
          <w:bCs/>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宋体" w:hAnsi="宋体"/>
          <w:lang w:eastAsia="zh-CN"/>
        </w:rPr>
        <w:t>（</w:t>
      </w:r>
      <w:r>
        <w:rPr>
          <w:rFonts w:hint="eastAsia" w:ascii="宋体" w:hAnsi="宋体"/>
          <w:lang w:val="en-US" w:eastAsia="zh-CN"/>
        </w:rPr>
        <w:t>投标人的上级公司、子公司、人力资源服务机构等其他单位缴纳或个人缴纳社会保险均不予认定，分公司缴纳的社会保险可以予以认定</w:t>
      </w:r>
      <w:r>
        <w:rPr>
          <w:rFonts w:hint="eastAsia" w:ascii="宋体" w:hAnsi="宋体"/>
          <w:lang w:eastAsia="zh-CN"/>
        </w:rPr>
        <w:t>）</w:t>
      </w:r>
      <w:r>
        <w:rPr>
          <w:rFonts w:hint="eastAsia" w:ascii="BatangChe" w:hAnsi="BatangChe"/>
          <w:spacing w:val="-6"/>
        </w:rPr>
        <w:t>。</w:t>
      </w:r>
    </w:p>
  </w:footnote>
  <w:footnote w:id="3">
    <w:p w14:paraId="2239E5CA">
      <w:pPr>
        <w:pStyle w:val="9"/>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43B745B3">
      <w:pPr>
        <w:pStyle w:val="9"/>
        <w:jc w:val="both"/>
        <w:rPr>
          <w:rFonts w:ascii="宋体" w:hAnsi="宋体"/>
        </w:rPr>
      </w:pPr>
      <w:r>
        <w:rPr>
          <w:rStyle w:val="13"/>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3379C"/>
    <w:multiLevelType w:val="singleLevel"/>
    <w:tmpl w:val="500337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08470D95"/>
    <w:rsid w:val="16762FB3"/>
    <w:rsid w:val="3B1840AB"/>
    <w:rsid w:val="44284300"/>
    <w:rsid w:val="47D70F74"/>
    <w:rsid w:val="613267FE"/>
    <w:rsid w:val="63304E2E"/>
    <w:rsid w:val="66233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28"/>
      <w:szCs w:val="24"/>
    </w:rPr>
  </w:style>
  <w:style w:type="paragraph" w:styleId="4">
    <w:name w:val="Body Text Indent"/>
    <w:basedOn w:val="1"/>
    <w:next w:val="5"/>
    <w:link w:val="28"/>
    <w:qFormat/>
    <w:uiPriority w:val="99"/>
    <w:pPr>
      <w:ind w:firstLine="1120" w:firstLineChars="400"/>
    </w:pPr>
    <w:rPr>
      <w:rFonts w:ascii="Times New Roman" w:hAnsi="Times New Roman" w:eastAsia="宋体" w:cs="Times New Roman"/>
      <w:sz w:val="28"/>
      <w:szCs w:val="24"/>
    </w:rPr>
  </w:style>
  <w:style w:type="paragraph" w:styleId="5">
    <w:name w:val="Body Text Indent 2"/>
    <w:basedOn w:val="1"/>
    <w:link w:val="29"/>
    <w:semiHidden/>
    <w:unhideWhenUsed/>
    <w:qFormat/>
    <w:uiPriority w:val="99"/>
    <w:pPr>
      <w:spacing w:after="120" w:line="480" w:lineRule="auto"/>
      <w:ind w:left="420" w:leftChars="200"/>
    </w:pPr>
  </w:style>
  <w:style w:type="paragraph" w:styleId="6">
    <w:name w:val="Plain Text"/>
    <w:basedOn w:val="1"/>
    <w:link w:val="30"/>
    <w:qFormat/>
    <w:uiPriority w:val="99"/>
    <w:rPr>
      <w:rFonts w:ascii="宋体" w:hAnsi="Courier New" w:eastAsia="宋体" w:cs="Times New Roman"/>
      <w:szCs w:val="21"/>
    </w:rPr>
  </w:style>
  <w:style w:type="paragraph" w:styleId="7">
    <w:name w:val="footer"/>
    <w:basedOn w:val="1"/>
    <w:link w:val="24"/>
    <w:autoRedefine/>
    <w:unhideWhenUsed/>
    <w:qFormat/>
    <w:uiPriority w:val="99"/>
    <w:pPr>
      <w:tabs>
        <w:tab w:val="center" w:pos="4153"/>
        <w:tab w:val="right" w:pos="8306"/>
      </w:tabs>
      <w:snapToGrid w:val="0"/>
      <w:jc w:val="left"/>
    </w:pPr>
    <w:rPr>
      <w:sz w:val="18"/>
      <w:szCs w:val="18"/>
    </w:rPr>
  </w:style>
  <w:style w:type="paragraph" w:styleId="8">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paragraph" w:styleId="10">
    <w:name w:val="Body Text First Indent"/>
    <w:basedOn w:val="3"/>
    <w:qFormat/>
    <w:uiPriority w:val="0"/>
    <w:pPr>
      <w:spacing w:line="312" w:lineRule="auto"/>
      <w:ind w:firstLine="420"/>
    </w:pPr>
    <w:rPr>
      <w:rFonts w:ascii="Calibri" w:hAnsi="Calibri"/>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9"/>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8"/>
    <w:qFormat/>
    <w:uiPriority w:val="99"/>
    <w:rPr>
      <w:sz w:val="18"/>
      <w:szCs w:val="18"/>
    </w:rPr>
  </w:style>
  <w:style w:type="character" w:customStyle="1" w:styleId="24">
    <w:name w:val="页脚 字符"/>
    <w:basedOn w:val="12"/>
    <w:link w:val="7"/>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4"/>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5"/>
    <w:semiHidden/>
    <w:qFormat/>
    <w:uiPriority w:val="99"/>
    <w:rPr>
      <w:kern w:val="2"/>
      <w:sz w:val="21"/>
      <w:szCs w:val="22"/>
    </w:rPr>
  </w:style>
  <w:style w:type="character" w:customStyle="1" w:styleId="30">
    <w:name w:val="纯文本 字符"/>
    <w:basedOn w:val="12"/>
    <w:link w:val="6"/>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5025</Words>
  <Characters>5294</Characters>
  <Lines>39</Lines>
  <Paragraphs>11</Paragraphs>
  <TotalTime>35</TotalTime>
  <ScaleCrop>false</ScaleCrop>
  <LinksUpToDate>false</LinksUpToDate>
  <CharactersWithSpaces>5322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Administrator</cp:lastModifiedBy>
  <dcterms:modified xsi:type="dcterms:W3CDTF">2026-06-25T01:08:53Z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