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02A5D">
      <w:pPr>
        <w:adjustRightInd w:val="0"/>
        <w:snapToGrid w:val="0"/>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白山至临江高速公路石人连接线施工招标文件关键内容</w:t>
      </w:r>
    </w:p>
    <w:p w14:paraId="48F5F871">
      <w:pPr>
        <w:snapToGrid w:val="0"/>
        <w:jc w:val="center"/>
        <w:rPr>
          <w:rFonts w:hint="eastAsia" w:ascii="宋体" w:hAnsi="宋体" w:eastAsia="宋体" w:cs="宋体"/>
          <w:b/>
          <w:color w:val="auto"/>
          <w:sz w:val="18"/>
          <w:szCs w:val="18"/>
        </w:rPr>
      </w:pPr>
    </w:p>
    <w:p w14:paraId="1F48EBE8">
      <w:pPr>
        <w:keepNext/>
        <w:keepLines/>
        <w:pageBreakBefore w:val="0"/>
        <w:kinsoku/>
        <w:wordWrap/>
        <w:overflowPunct/>
        <w:topLinePunct w:val="0"/>
        <w:bidi w:val="0"/>
        <w:adjustRightInd w:val="0"/>
        <w:snapToGrid w:val="0"/>
        <w:spacing w:line="240" w:lineRule="exact"/>
        <w:textAlignment w:val="auto"/>
        <w:outlineLvl w:val="3"/>
        <w:rPr>
          <w:rFonts w:hint="eastAsia" w:ascii="宋体" w:hAnsi="宋体" w:eastAsia="宋体" w:cs="宋体"/>
          <w:bCs/>
          <w:color w:val="auto"/>
          <w:sz w:val="18"/>
          <w:szCs w:val="18"/>
        </w:rPr>
      </w:pPr>
      <w:bookmarkStart w:id="0" w:name="_Toc184704554"/>
      <w:r>
        <w:rPr>
          <w:rFonts w:hint="eastAsia" w:ascii="宋体" w:hAnsi="宋体" w:eastAsia="宋体" w:cs="宋体"/>
          <w:bCs/>
          <w:color w:val="auto"/>
          <w:sz w:val="18"/>
          <w:szCs w:val="18"/>
        </w:rPr>
        <w:t>一、项目概况与招标范围</w:t>
      </w:r>
      <w:bookmarkEnd w:id="0"/>
    </w:p>
    <w:p w14:paraId="4B8EE97D">
      <w:pPr>
        <w:pageBreakBefore w:val="0"/>
        <w:kinsoku/>
        <w:wordWrap/>
        <w:overflowPunct/>
        <w:topLinePunct w:val="0"/>
        <w:bidi w:val="0"/>
        <w:adjustRightInd w:val="0"/>
        <w:snapToGrid w:val="0"/>
        <w:spacing w:line="24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详见招标公告。</w:t>
      </w:r>
    </w:p>
    <w:p w14:paraId="44A041D1">
      <w:pPr>
        <w:keepNext/>
        <w:keepLines/>
        <w:pageBreakBefore w:val="0"/>
        <w:kinsoku/>
        <w:wordWrap/>
        <w:overflowPunct/>
        <w:topLinePunct w:val="0"/>
        <w:bidi w:val="0"/>
        <w:adjustRightInd w:val="0"/>
        <w:snapToGrid w:val="0"/>
        <w:spacing w:line="240" w:lineRule="exact"/>
        <w:textAlignment w:val="auto"/>
        <w:outlineLvl w:val="3"/>
        <w:rPr>
          <w:rFonts w:hint="eastAsia" w:ascii="宋体" w:hAnsi="宋体" w:eastAsia="宋体" w:cs="宋体"/>
          <w:bCs/>
          <w:color w:val="auto"/>
          <w:sz w:val="18"/>
          <w:szCs w:val="18"/>
        </w:rPr>
      </w:pPr>
      <w:r>
        <w:rPr>
          <w:rFonts w:hint="eastAsia" w:ascii="宋体" w:hAnsi="宋体" w:eastAsia="宋体" w:cs="宋体"/>
          <w:bCs/>
          <w:color w:val="auto"/>
          <w:sz w:val="18"/>
          <w:szCs w:val="18"/>
        </w:rPr>
        <w:t>二、资格条件要求</w:t>
      </w:r>
    </w:p>
    <w:p w14:paraId="5309CDDC">
      <w:pPr>
        <w:pageBreakBefore w:val="0"/>
        <w:kinsoku/>
        <w:wordWrap/>
        <w:overflowPunct/>
        <w:topLinePunct w:val="0"/>
        <w:bidi w:val="0"/>
        <w:adjustRightInd w:val="0"/>
        <w:snapToGrid w:val="0"/>
        <w:spacing w:line="240" w:lineRule="exact"/>
        <w:ind w:firstLine="361" w:firstLineChars="200"/>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投标人须知前附表（投标人资格要求部分）</w:t>
      </w:r>
    </w:p>
    <w:tbl>
      <w:tblPr>
        <w:tblStyle w:val="8"/>
        <w:tblW w:w="961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90"/>
        <w:gridCol w:w="2220"/>
        <w:gridCol w:w="6505"/>
      </w:tblGrid>
      <w:tr w14:paraId="795560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70" w:hRule="atLeast"/>
          <w:jc w:val="center"/>
        </w:trPr>
        <w:tc>
          <w:tcPr>
            <w:tcW w:w="890" w:type="dxa"/>
            <w:tcBorders>
              <w:tl2br w:val="nil"/>
              <w:tr2bl w:val="nil"/>
            </w:tcBorders>
            <w:vAlign w:val="center"/>
          </w:tcPr>
          <w:p w14:paraId="61E08BF5">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vertAlign w:val="superscript"/>
              </w:rPr>
            </w:pPr>
            <w:r>
              <w:rPr>
                <w:rFonts w:hint="eastAsia" w:ascii="宋体" w:hAnsi="宋体" w:eastAsia="宋体" w:cs="宋体"/>
                <w:sz w:val="18"/>
                <w:szCs w:val="18"/>
                <w:highlight w:val="none"/>
              </w:rPr>
              <w:t>1.4.1</w:t>
            </w:r>
          </w:p>
        </w:tc>
        <w:tc>
          <w:tcPr>
            <w:tcW w:w="2220" w:type="dxa"/>
            <w:tcBorders>
              <w:tl2br w:val="nil"/>
              <w:tr2bl w:val="nil"/>
            </w:tcBorders>
            <w:vAlign w:val="center"/>
          </w:tcPr>
          <w:p w14:paraId="7E6619E1">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投标人资质条件、能力和信誉</w:t>
            </w:r>
          </w:p>
        </w:tc>
        <w:tc>
          <w:tcPr>
            <w:tcW w:w="6505" w:type="dxa"/>
            <w:tcBorders>
              <w:tl2br w:val="nil"/>
              <w:tr2bl w:val="nil"/>
            </w:tcBorders>
            <w:vAlign w:val="center"/>
          </w:tcPr>
          <w:p w14:paraId="2DFBD1D0">
            <w:pPr>
              <w:keepNext w:val="0"/>
              <w:keepLines w:val="0"/>
              <w:pageBreakBefore w:val="0"/>
              <w:kinsoku/>
              <w:wordWrap/>
              <w:overflowPunct/>
              <w:topLinePunct w:val="0"/>
              <w:bidi w:val="0"/>
              <w:adjustRightInd w:val="0"/>
              <w:snapToGrid w:val="0"/>
              <w:spacing w:line="240" w:lineRule="exact"/>
              <w:ind w:right="0" w:firstLine="90" w:firstLineChars="50"/>
              <w:textAlignment w:val="auto"/>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zh-CN"/>
              </w:rPr>
              <w:t>资质要求：见</w:t>
            </w:r>
            <w:r>
              <w:rPr>
                <w:rFonts w:hint="eastAsia" w:ascii="宋体" w:hAnsi="宋体" w:eastAsia="宋体" w:cs="宋体"/>
                <w:kern w:val="0"/>
                <w:sz w:val="18"/>
                <w:szCs w:val="18"/>
                <w:highlight w:val="none"/>
              </w:rPr>
              <w:t>附录1</w:t>
            </w:r>
          </w:p>
          <w:p w14:paraId="30ACE2D1">
            <w:pPr>
              <w:keepNext w:val="0"/>
              <w:keepLines w:val="0"/>
              <w:pageBreakBefore w:val="0"/>
              <w:kinsoku/>
              <w:wordWrap/>
              <w:overflowPunct/>
              <w:topLinePunct w:val="0"/>
              <w:bidi w:val="0"/>
              <w:adjustRightInd w:val="0"/>
              <w:snapToGrid w:val="0"/>
              <w:spacing w:line="240" w:lineRule="exact"/>
              <w:ind w:right="0" w:firstLine="90" w:firstLineChars="50"/>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财务要求：见</w:t>
            </w:r>
            <w:r>
              <w:rPr>
                <w:rFonts w:hint="eastAsia" w:ascii="宋体" w:hAnsi="宋体" w:eastAsia="宋体" w:cs="宋体"/>
                <w:kern w:val="0"/>
                <w:sz w:val="18"/>
                <w:szCs w:val="18"/>
                <w:highlight w:val="none"/>
              </w:rPr>
              <w:t>附录2</w:t>
            </w:r>
          </w:p>
          <w:p w14:paraId="738645FD">
            <w:pPr>
              <w:keepNext w:val="0"/>
              <w:keepLines w:val="0"/>
              <w:pageBreakBefore w:val="0"/>
              <w:kinsoku/>
              <w:wordWrap/>
              <w:overflowPunct/>
              <w:topLinePunct w:val="0"/>
              <w:bidi w:val="0"/>
              <w:adjustRightInd w:val="0"/>
              <w:snapToGrid w:val="0"/>
              <w:spacing w:line="240" w:lineRule="exact"/>
              <w:ind w:right="0" w:firstLine="90" w:firstLineChars="50"/>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业绩要求：见</w:t>
            </w:r>
            <w:r>
              <w:rPr>
                <w:rFonts w:hint="eastAsia" w:ascii="宋体" w:hAnsi="宋体" w:eastAsia="宋体" w:cs="宋体"/>
                <w:kern w:val="0"/>
                <w:sz w:val="18"/>
                <w:szCs w:val="18"/>
                <w:highlight w:val="none"/>
              </w:rPr>
              <w:t>附录3</w:t>
            </w:r>
          </w:p>
          <w:p w14:paraId="0137E17E">
            <w:pPr>
              <w:keepNext w:val="0"/>
              <w:keepLines w:val="0"/>
              <w:pageBreakBefore w:val="0"/>
              <w:kinsoku/>
              <w:wordWrap/>
              <w:overflowPunct/>
              <w:topLinePunct w:val="0"/>
              <w:bidi w:val="0"/>
              <w:adjustRightInd w:val="0"/>
              <w:snapToGrid w:val="0"/>
              <w:spacing w:line="240" w:lineRule="exact"/>
              <w:ind w:right="0" w:firstLine="90" w:firstLineChars="50"/>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信誉要求：见</w:t>
            </w:r>
            <w:r>
              <w:rPr>
                <w:rFonts w:hint="eastAsia" w:ascii="宋体" w:hAnsi="宋体" w:eastAsia="宋体" w:cs="宋体"/>
                <w:kern w:val="0"/>
                <w:sz w:val="18"/>
                <w:szCs w:val="18"/>
                <w:highlight w:val="none"/>
              </w:rPr>
              <w:t>附录4</w:t>
            </w:r>
          </w:p>
          <w:p w14:paraId="57D24583">
            <w:pPr>
              <w:keepNext w:val="0"/>
              <w:keepLines w:val="0"/>
              <w:pageBreakBefore w:val="0"/>
              <w:kinsoku/>
              <w:wordWrap/>
              <w:overflowPunct/>
              <w:topLinePunct w:val="0"/>
              <w:bidi w:val="0"/>
              <w:adjustRightInd w:val="0"/>
              <w:snapToGrid w:val="0"/>
              <w:spacing w:line="240" w:lineRule="exact"/>
              <w:ind w:right="0" w:firstLine="90" w:firstLineChars="50"/>
              <w:textAlignment w:val="auto"/>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zh-CN"/>
              </w:rPr>
              <w:t>项目经理和项目总工资格要求：见</w:t>
            </w:r>
            <w:r>
              <w:rPr>
                <w:rFonts w:hint="eastAsia" w:ascii="宋体" w:hAnsi="宋体" w:eastAsia="宋体" w:cs="宋体"/>
                <w:kern w:val="0"/>
                <w:sz w:val="18"/>
                <w:szCs w:val="18"/>
                <w:highlight w:val="none"/>
              </w:rPr>
              <w:t>附录5</w:t>
            </w:r>
          </w:p>
          <w:p w14:paraId="73AE1B2C">
            <w:pPr>
              <w:keepNext w:val="0"/>
              <w:keepLines w:val="0"/>
              <w:pageBreakBefore w:val="0"/>
              <w:kinsoku/>
              <w:wordWrap/>
              <w:overflowPunct/>
              <w:topLinePunct w:val="0"/>
              <w:bidi w:val="0"/>
              <w:spacing w:line="240" w:lineRule="exact"/>
              <w:ind w:right="0" w:firstLine="90" w:firstLineChars="50"/>
              <w:textAlignment w:val="auto"/>
              <w:rPr>
                <w:rFonts w:hint="eastAsia" w:ascii="宋体" w:hAnsi="宋体" w:eastAsia="宋体" w:cs="宋体"/>
                <w:sz w:val="18"/>
                <w:szCs w:val="18"/>
                <w:highlight w:val="none"/>
              </w:rPr>
            </w:pPr>
            <w:r>
              <w:rPr>
                <w:rFonts w:hint="eastAsia" w:ascii="宋体" w:hAnsi="宋体" w:eastAsia="宋体" w:cs="宋体"/>
                <w:kern w:val="0"/>
                <w:sz w:val="18"/>
                <w:szCs w:val="18"/>
                <w:highlight w:val="none"/>
                <w:lang w:val="zh-CN"/>
              </w:rPr>
              <w:t>其他要求：无</w:t>
            </w:r>
          </w:p>
        </w:tc>
      </w:tr>
      <w:tr w14:paraId="6299E4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90" w:type="dxa"/>
            <w:tcBorders>
              <w:tl2br w:val="nil"/>
              <w:tr2bl w:val="nil"/>
            </w:tcBorders>
            <w:vAlign w:val="center"/>
          </w:tcPr>
          <w:p w14:paraId="5B677990">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1.4.2</w:t>
            </w:r>
          </w:p>
        </w:tc>
        <w:tc>
          <w:tcPr>
            <w:tcW w:w="2220" w:type="dxa"/>
            <w:tcBorders>
              <w:tl2br w:val="nil"/>
              <w:tr2bl w:val="nil"/>
            </w:tcBorders>
            <w:vAlign w:val="center"/>
          </w:tcPr>
          <w:p w14:paraId="2BAF7B21">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是否接受联合体投标</w:t>
            </w:r>
          </w:p>
        </w:tc>
        <w:tc>
          <w:tcPr>
            <w:tcW w:w="6505" w:type="dxa"/>
            <w:tcBorders>
              <w:tl2br w:val="nil"/>
              <w:tr2bl w:val="nil"/>
            </w:tcBorders>
            <w:vAlign w:val="center"/>
          </w:tcPr>
          <w:p w14:paraId="06137776">
            <w:pPr>
              <w:keepNext w:val="0"/>
              <w:keepLines w:val="0"/>
              <w:pageBreakBefore w:val="0"/>
              <w:widowControl/>
              <w:kinsoku/>
              <w:wordWrap/>
              <w:overflowPunct/>
              <w:topLinePunct w:val="0"/>
              <w:bidi w:val="0"/>
              <w:spacing w:line="240" w:lineRule="exact"/>
              <w:ind w:right="0"/>
              <w:jc w:val="left"/>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□不接受</w:t>
            </w:r>
          </w:p>
          <w:p w14:paraId="33DA8E82">
            <w:pPr>
              <w:keepNext w:val="0"/>
              <w:keepLines w:val="0"/>
              <w:pageBreakBefore w:val="0"/>
              <w:widowControl/>
              <w:kinsoku/>
              <w:wordWrap/>
              <w:overflowPunct/>
              <w:topLinePunct w:val="0"/>
              <w:bidi w:val="0"/>
              <w:spacing w:line="240" w:lineRule="exact"/>
              <w:ind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kern w:val="0"/>
                <w:sz w:val="18"/>
                <w:szCs w:val="18"/>
                <w:highlight w:val="none"/>
                <w:lang w:val="zh-CN"/>
              </w:rPr>
              <w:t>接受，应满足下列要求：</w:t>
            </w:r>
            <w:r>
              <w:rPr>
                <w:rFonts w:hint="eastAsia" w:ascii="宋体" w:hAnsi="宋体" w:eastAsia="宋体" w:cs="宋体"/>
                <w:kern w:val="0"/>
                <w:sz w:val="18"/>
                <w:szCs w:val="18"/>
                <w:highlight w:val="none"/>
              </w:rPr>
              <w:t>见招标公告</w:t>
            </w:r>
          </w:p>
        </w:tc>
      </w:tr>
      <w:tr w14:paraId="474D7E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05" w:hRule="atLeast"/>
          <w:jc w:val="center"/>
        </w:trPr>
        <w:tc>
          <w:tcPr>
            <w:tcW w:w="890" w:type="dxa"/>
            <w:tcBorders>
              <w:tl2br w:val="nil"/>
              <w:tr2bl w:val="nil"/>
            </w:tcBorders>
            <w:vAlign w:val="center"/>
          </w:tcPr>
          <w:p w14:paraId="44D6289E">
            <w:pPr>
              <w:keepNext w:val="0"/>
              <w:keepLines w:val="0"/>
              <w:pageBreakBefore w:val="0"/>
              <w:kinsoku/>
              <w:wordWrap/>
              <w:overflowPunct/>
              <w:topLinePunct w:val="0"/>
              <w:bidi w:val="0"/>
              <w:adjustRightInd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1.4.3</w:t>
            </w:r>
          </w:p>
        </w:tc>
        <w:tc>
          <w:tcPr>
            <w:tcW w:w="2220" w:type="dxa"/>
            <w:tcBorders>
              <w:tl2br w:val="nil"/>
              <w:tr2bl w:val="nil"/>
            </w:tcBorders>
            <w:vAlign w:val="center"/>
          </w:tcPr>
          <w:p w14:paraId="66E1062B">
            <w:pPr>
              <w:keepNext w:val="0"/>
              <w:keepLines w:val="0"/>
              <w:pageBreakBefore w:val="0"/>
              <w:kinsoku/>
              <w:wordWrap/>
              <w:overflowPunct/>
              <w:topLinePunct w:val="0"/>
              <w:bidi w:val="0"/>
              <w:adjustRightInd w:val="0"/>
              <w:spacing w:line="240" w:lineRule="exact"/>
              <w:ind w:right="0"/>
              <w:jc w:val="center"/>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投标人不得</w:t>
            </w:r>
          </w:p>
          <w:p w14:paraId="61B6987B">
            <w:pPr>
              <w:keepNext w:val="0"/>
              <w:keepLines w:val="0"/>
              <w:pageBreakBefore w:val="0"/>
              <w:kinsoku/>
              <w:wordWrap/>
              <w:overflowPunct/>
              <w:topLinePunct w:val="0"/>
              <w:bidi w:val="0"/>
              <w:adjustRightInd w:val="0"/>
              <w:spacing w:line="240" w:lineRule="exact"/>
              <w:ind w:right="0"/>
              <w:jc w:val="center"/>
              <w:textAlignment w:val="auto"/>
              <w:rPr>
                <w:rFonts w:hint="eastAsia" w:ascii="宋体" w:hAnsi="宋体" w:eastAsia="宋体" w:cs="宋体"/>
                <w:kern w:val="0"/>
                <w:sz w:val="18"/>
                <w:szCs w:val="18"/>
                <w:highlight w:val="none"/>
                <w:lang w:val="zh-CN"/>
              </w:rPr>
            </w:pPr>
            <w:r>
              <w:rPr>
                <w:rFonts w:hint="eastAsia" w:ascii="宋体" w:hAnsi="宋体" w:eastAsia="宋体" w:cs="宋体"/>
                <w:kern w:val="0"/>
                <w:sz w:val="18"/>
                <w:szCs w:val="18"/>
                <w:highlight w:val="none"/>
                <w:lang w:val="zh-CN"/>
              </w:rPr>
              <w:t>存在的其他</w:t>
            </w:r>
          </w:p>
          <w:p w14:paraId="35048000">
            <w:pPr>
              <w:keepNext w:val="0"/>
              <w:keepLines w:val="0"/>
              <w:pageBreakBefore w:val="0"/>
              <w:kinsoku/>
              <w:wordWrap/>
              <w:overflowPunct/>
              <w:topLinePunct w:val="0"/>
              <w:bidi w:val="0"/>
              <w:adjustRightInd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kern w:val="0"/>
                <w:sz w:val="18"/>
                <w:szCs w:val="18"/>
                <w:highlight w:val="none"/>
                <w:lang w:val="zh-CN"/>
              </w:rPr>
              <w:t>关联情况</w:t>
            </w:r>
          </w:p>
        </w:tc>
        <w:tc>
          <w:tcPr>
            <w:tcW w:w="6505" w:type="dxa"/>
            <w:tcBorders>
              <w:tl2br w:val="nil"/>
              <w:tr2bl w:val="nil"/>
            </w:tcBorders>
            <w:vAlign w:val="center"/>
          </w:tcPr>
          <w:p w14:paraId="08AF4743">
            <w:pPr>
              <w:pStyle w:val="11"/>
              <w:keepNext w:val="0"/>
              <w:keepLines w:val="0"/>
              <w:pageBreakBefore w:val="0"/>
              <w:shd w:val="clear" w:color="auto" w:fill="auto"/>
              <w:tabs>
                <w:tab w:val="left" w:pos="1169"/>
              </w:tabs>
              <w:kinsoku/>
              <w:wordWrap/>
              <w:overflowPunct/>
              <w:topLinePunct w:val="0"/>
              <w:bidi w:val="0"/>
              <w:spacing w:before="0" w:line="240" w:lineRule="exact"/>
              <w:ind w:right="0"/>
              <w:jc w:val="both"/>
              <w:textAlignment w:val="auto"/>
              <w:rPr>
                <w:rFonts w:hint="eastAsia" w:ascii="宋体" w:hAnsi="宋体" w:eastAsia="宋体" w:cs="宋体"/>
                <w:sz w:val="18"/>
                <w:szCs w:val="18"/>
                <w:highlight w:val="none"/>
                <w:lang w:val="zh-CN"/>
              </w:rPr>
            </w:pPr>
            <w:r>
              <w:rPr>
                <w:rFonts w:hint="eastAsia" w:ascii="宋体" w:hAnsi="宋体" w:eastAsia="宋体" w:cs="宋体"/>
                <w:sz w:val="18"/>
                <w:szCs w:val="18"/>
                <w:highlight w:val="none"/>
              </w:rPr>
              <w:t>/</w:t>
            </w:r>
          </w:p>
        </w:tc>
      </w:tr>
      <w:tr w14:paraId="45FCD0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890" w:type="dxa"/>
            <w:tcBorders>
              <w:tl2br w:val="nil"/>
              <w:tr2bl w:val="nil"/>
            </w:tcBorders>
            <w:vAlign w:val="center"/>
          </w:tcPr>
          <w:p w14:paraId="03083CCD">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1.4.4</w:t>
            </w:r>
          </w:p>
        </w:tc>
        <w:tc>
          <w:tcPr>
            <w:tcW w:w="2220" w:type="dxa"/>
            <w:tcBorders>
              <w:tl2br w:val="nil"/>
              <w:tr2bl w:val="nil"/>
            </w:tcBorders>
            <w:vAlign w:val="center"/>
          </w:tcPr>
          <w:p w14:paraId="6E114283">
            <w:pPr>
              <w:keepNext w:val="0"/>
              <w:keepLines w:val="0"/>
              <w:pageBreakBefore w:val="0"/>
              <w:kinsoku/>
              <w:wordWrap/>
              <w:overflowPunct/>
              <w:topLinePunct w:val="0"/>
              <w:bidi w:val="0"/>
              <w:spacing w:line="240" w:lineRule="exact"/>
              <w:ind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投标人不得存在的其他不良状况或不良信用记录</w:t>
            </w:r>
          </w:p>
        </w:tc>
        <w:tc>
          <w:tcPr>
            <w:tcW w:w="6505" w:type="dxa"/>
            <w:tcBorders>
              <w:tl2br w:val="nil"/>
              <w:tr2bl w:val="nil"/>
            </w:tcBorders>
            <w:vAlign w:val="center"/>
          </w:tcPr>
          <w:p w14:paraId="273184B8">
            <w:pPr>
              <w:keepNext w:val="0"/>
              <w:keepLines w:val="0"/>
              <w:pageBreakBefore w:val="0"/>
              <w:kinsoku/>
              <w:wordWrap/>
              <w:overflowPunct/>
              <w:topLinePunct w:val="0"/>
              <w:autoSpaceDE w:val="0"/>
              <w:autoSpaceDN w:val="0"/>
              <w:bidi w:val="0"/>
              <w:adjustRightInd w:val="0"/>
              <w:spacing w:line="240" w:lineRule="exact"/>
              <w:ind w:right="0"/>
              <w:textAlignment w:val="auto"/>
              <w:rPr>
                <w:rFonts w:hint="eastAsia" w:ascii="宋体" w:hAnsi="宋体" w:eastAsia="宋体" w:cs="宋体"/>
                <w:sz w:val="18"/>
                <w:szCs w:val="18"/>
                <w:highlight w:val="none"/>
              </w:rPr>
            </w:pPr>
            <w:r>
              <w:rPr>
                <w:rFonts w:hint="eastAsia" w:ascii="宋体" w:hAnsi="宋体" w:eastAsia="宋体" w:cs="宋体"/>
                <w:b/>
                <w:bCs/>
                <w:sz w:val="18"/>
                <w:szCs w:val="18"/>
                <w:highlight w:val="none"/>
              </w:rPr>
              <w:t>本款内容第（6）条修改为：</w:t>
            </w:r>
          </w:p>
          <w:p w14:paraId="31BD4B41">
            <w:pPr>
              <w:keepNext w:val="0"/>
              <w:keepLines w:val="0"/>
              <w:pageBreakBefore w:val="0"/>
              <w:kinsoku/>
              <w:wordWrap/>
              <w:overflowPunct/>
              <w:topLinePunct w:val="0"/>
              <w:bidi w:val="0"/>
              <w:spacing w:line="240" w:lineRule="exact"/>
              <w:ind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kern w:val="0"/>
                <w:sz w:val="18"/>
                <w:szCs w:val="18"/>
                <w:highlight w:val="none"/>
                <w:lang w:val="zh-CN"/>
              </w:rPr>
              <w:t>（6）</w:t>
            </w:r>
            <w:r>
              <w:rPr>
                <w:rFonts w:hint="eastAsia" w:ascii="宋体" w:hAnsi="宋体" w:eastAsia="宋体" w:cs="宋体"/>
                <w:sz w:val="18"/>
                <w:szCs w:val="18"/>
                <w:highlight w:val="none"/>
              </w:rPr>
              <w:t>投标人或其法定代表人、拟委任的项目经理在近三年内有行贿犯罪行为的。</w:t>
            </w:r>
          </w:p>
        </w:tc>
      </w:tr>
    </w:tbl>
    <w:p w14:paraId="2F6982AB">
      <w:pPr>
        <w:widowControl/>
        <w:jc w:val="center"/>
        <w:rPr>
          <w:rFonts w:hint="eastAsia" w:ascii="宋体" w:hAnsi="宋体" w:eastAsia="宋体" w:cs="宋体"/>
          <w:bCs/>
          <w:sz w:val="18"/>
          <w:szCs w:val="18"/>
          <w:highlight w:val="none"/>
          <w:lang w:val="zh-CN"/>
        </w:rPr>
      </w:pPr>
      <w:bookmarkStart w:id="1" w:name="_Toc436994103"/>
      <w:bookmarkStart w:id="2" w:name="_Toc197965598"/>
      <w:bookmarkStart w:id="3" w:name="_Toc197950804"/>
      <w:bookmarkStart w:id="4" w:name="_Toc197960546"/>
      <w:bookmarkStart w:id="5" w:name="_Toc197967267"/>
      <w:bookmarkStart w:id="6" w:name="_Toc197967119"/>
      <w:bookmarkStart w:id="7" w:name="_Toc197960494"/>
      <w:bookmarkStart w:id="8" w:name="_Toc197950683"/>
      <w:bookmarkStart w:id="9" w:name="_Toc197951589"/>
    </w:p>
    <w:p w14:paraId="7DD3C7EE">
      <w:pPr>
        <w:widowControl/>
        <w:jc w:val="center"/>
        <w:rPr>
          <w:rFonts w:hint="eastAsia" w:ascii="宋体" w:hAnsi="宋体" w:eastAsia="宋体" w:cs="宋体"/>
          <w:bCs/>
          <w:sz w:val="18"/>
          <w:szCs w:val="18"/>
          <w:highlight w:val="none"/>
          <w:lang w:val="zh-CN"/>
        </w:rPr>
      </w:pPr>
      <w:r>
        <w:rPr>
          <w:rFonts w:hint="eastAsia" w:ascii="宋体" w:hAnsi="宋体" w:eastAsia="宋体" w:cs="宋体"/>
          <w:bCs/>
          <w:sz w:val="18"/>
          <w:szCs w:val="18"/>
          <w:highlight w:val="none"/>
          <w:lang w:val="zh-CN"/>
        </w:rPr>
        <w:t>附录1资格审查条件（资质最低要求）</w:t>
      </w:r>
    </w:p>
    <w:tbl>
      <w:tblPr>
        <w:tblStyle w:val="8"/>
        <w:tblW w:w="48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8708"/>
      </w:tblGrid>
      <w:tr w14:paraId="56BBA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68" w:type="pct"/>
            <w:vAlign w:val="center"/>
          </w:tcPr>
          <w:p w14:paraId="40A9FD15">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标段</w:t>
            </w:r>
          </w:p>
        </w:tc>
        <w:tc>
          <w:tcPr>
            <w:tcW w:w="4531" w:type="pct"/>
            <w:vAlign w:val="center"/>
          </w:tcPr>
          <w:p w14:paraId="545EDFC6">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b/>
                <w:bCs/>
                <w:sz w:val="18"/>
                <w:szCs w:val="18"/>
                <w:highlight w:val="none"/>
              </w:rPr>
              <w:t>施工企业资质等级要求</w:t>
            </w:r>
          </w:p>
        </w:tc>
      </w:tr>
      <w:tr w14:paraId="572AF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pct"/>
            <w:vAlign w:val="center"/>
          </w:tcPr>
          <w:p w14:paraId="7799AFC6">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SRLJ</w:t>
            </w:r>
            <w:r>
              <w:rPr>
                <w:rFonts w:hint="eastAsia" w:ascii="宋体" w:hAnsi="宋体" w:eastAsia="宋体" w:cs="宋体"/>
                <w:sz w:val="18"/>
                <w:szCs w:val="18"/>
                <w:highlight w:val="none"/>
              </w:rPr>
              <w:t>01</w:t>
            </w:r>
          </w:p>
        </w:tc>
        <w:tc>
          <w:tcPr>
            <w:tcW w:w="4531" w:type="pct"/>
            <w:vAlign w:val="center"/>
          </w:tcPr>
          <w:p w14:paraId="522DFB63">
            <w:pPr>
              <w:adjustRightInd w:val="0"/>
              <w:snapToGrid w:val="0"/>
              <w:rPr>
                <w:rFonts w:hint="eastAsia" w:ascii="宋体" w:hAnsi="宋体" w:eastAsia="宋体" w:cs="宋体"/>
                <w:spacing w:val="9"/>
                <w:sz w:val="18"/>
                <w:szCs w:val="18"/>
                <w:highlight w:val="none"/>
                <w:lang w:val="en-US" w:eastAsia="zh-CN"/>
              </w:rPr>
            </w:pPr>
            <w:r>
              <w:rPr>
                <w:rFonts w:hint="eastAsia" w:ascii="宋体" w:hAnsi="宋体" w:eastAsia="宋体" w:cs="宋体"/>
                <w:spacing w:val="9"/>
                <w:sz w:val="18"/>
                <w:szCs w:val="18"/>
                <w:highlight w:val="none"/>
                <w:lang w:eastAsia="zh-CN"/>
              </w:rPr>
              <w:t>投标人须同时具备建设主管部门颁发的</w:t>
            </w:r>
            <w:r>
              <w:rPr>
                <w:rFonts w:hint="eastAsia" w:ascii="宋体" w:hAnsi="宋体" w:eastAsia="宋体" w:cs="宋体"/>
                <w:spacing w:val="9"/>
                <w:sz w:val="18"/>
                <w:szCs w:val="18"/>
                <w:highlight w:val="none"/>
                <w:lang w:val="en-US" w:eastAsia="zh-CN"/>
              </w:rPr>
              <w:t>以下资质：</w:t>
            </w:r>
          </w:p>
          <w:p w14:paraId="5DF92E6C">
            <w:pPr>
              <w:numPr>
                <w:ilvl w:val="0"/>
                <w:numId w:val="1"/>
              </w:numPr>
              <w:adjustRightInd w:val="0"/>
              <w:snapToGrid w:val="0"/>
              <w:rPr>
                <w:rFonts w:hint="eastAsia" w:ascii="宋体" w:hAnsi="宋体" w:eastAsia="宋体" w:cs="宋体"/>
                <w:sz w:val="18"/>
                <w:szCs w:val="18"/>
                <w:highlight w:val="none"/>
              </w:rPr>
            </w:pPr>
            <w:r>
              <w:rPr>
                <w:rFonts w:hint="eastAsia" w:ascii="宋体" w:hAnsi="宋体" w:eastAsia="宋体" w:cs="宋体"/>
                <w:sz w:val="18"/>
                <w:szCs w:val="18"/>
                <w:highlight w:val="none"/>
              </w:rPr>
              <w:t>公路工程施工</w:t>
            </w:r>
            <w:r>
              <w:rPr>
                <w:rFonts w:hint="eastAsia" w:ascii="宋体" w:hAnsi="宋体" w:eastAsia="宋体" w:cs="宋体"/>
                <w:sz w:val="18"/>
                <w:szCs w:val="18"/>
                <w:highlight w:val="none"/>
                <w:lang w:val="en-US" w:eastAsia="zh-CN"/>
              </w:rPr>
              <w:t>总承包三</w:t>
            </w:r>
            <w:r>
              <w:rPr>
                <w:rFonts w:hint="eastAsia" w:ascii="宋体" w:hAnsi="宋体" w:eastAsia="宋体" w:cs="宋体"/>
                <w:sz w:val="18"/>
                <w:szCs w:val="18"/>
                <w:highlight w:val="none"/>
              </w:rPr>
              <w:t>级或以上资质；</w:t>
            </w:r>
          </w:p>
          <w:p w14:paraId="6806B8C9">
            <w:pPr>
              <w:numPr>
                <w:ilvl w:val="0"/>
                <w:numId w:val="1"/>
              </w:numPr>
              <w:adjustRightInd w:val="0"/>
              <w:snapToGrid w:val="0"/>
              <w:ind w:left="0" w:leftChars="0"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公路交通工程（公路安全设施）专业承包二级或以上资质；</w:t>
            </w:r>
          </w:p>
          <w:p w14:paraId="3B76C9DD">
            <w:pPr>
              <w:numPr>
                <w:numId w:val="0"/>
              </w:numPr>
              <w:adjustRightInd w:val="0"/>
              <w:snapToGrid w:val="0"/>
              <w:ind w:leftChars="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注：</w:t>
            </w:r>
            <w:r>
              <w:rPr>
                <w:rFonts w:hint="eastAsia" w:ascii="宋体" w:hAnsi="宋体" w:eastAsia="宋体" w:cs="宋体"/>
                <w:sz w:val="18"/>
                <w:szCs w:val="18"/>
                <w:highlight w:val="none"/>
              </w:rPr>
              <w:t>投标人应进入交通运输部“全国公路建设市场监督管理系统”中的公路施工资质企业名录，且投标人名称资质与该名录中的相应企业名称和资质完全一致。</w:t>
            </w:r>
          </w:p>
        </w:tc>
      </w:tr>
    </w:tbl>
    <w:p w14:paraId="2E82D96F">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p>
    <w:p w14:paraId="005BEC2C">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r>
        <w:rPr>
          <w:rFonts w:hint="eastAsia" w:ascii="宋体" w:hAnsi="宋体" w:eastAsia="宋体" w:cs="宋体"/>
          <w:sz w:val="18"/>
          <w:szCs w:val="18"/>
          <w:highlight w:val="none"/>
          <w:lang w:val="zh-CN"/>
        </w:rPr>
        <w:t>附录2资格审查条件（财务最低要求）</w:t>
      </w:r>
    </w:p>
    <w:tbl>
      <w:tblPr>
        <w:tblStyle w:val="8"/>
        <w:tblW w:w="48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8214"/>
      </w:tblGrid>
      <w:tr w14:paraId="1A364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25" w:type="pct"/>
            <w:vAlign w:val="center"/>
          </w:tcPr>
          <w:p w14:paraId="61801758">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标段</w:t>
            </w:r>
          </w:p>
        </w:tc>
        <w:tc>
          <w:tcPr>
            <w:tcW w:w="4275" w:type="pct"/>
            <w:vAlign w:val="center"/>
          </w:tcPr>
          <w:p w14:paraId="0A0C7021">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b/>
                <w:bCs/>
                <w:sz w:val="18"/>
                <w:szCs w:val="18"/>
                <w:highlight w:val="none"/>
              </w:rPr>
              <w:t>财务要求</w:t>
            </w:r>
          </w:p>
        </w:tc>
      </w:tr>
      <w:tr w14:paraId="1C7D1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25" w:type="pct"/>
            <w:vAlign w:val="center"/>
          </w:tcPr>
          <w:p w14:paraId="2F1DE310">
            <w:pPr>
              <w:pStyle w:val="4"/>
              <w:adjustRightInd w:val="0"/>
              <w:snapToGrid w:val="0"/>
              <w:spacing w:before="120" w:beforeLines="50"/>
              <w:jc w:val="center"/>
              <w:rPr>
                <w:rFonts w:hint="eastAsia" w:ascii="宋体" w:hAnsi="宋体" w:eastAsia="宋体" w:cs="宋体"/>
                <w:kern w:val="0"/>
                <w:sz w:val="18"/>
                <w:szCs w:val="18"/>
                <w:highlight w:val="none"/>
              </w:rPr>
            </w:pPr>
            <w:r>
              <w:rPr>
                <w:rFonts w:hint="eastAsia" w:ascii="宋体" w:hAnsi="宋体" w:eastAsia="宋体" w:cs="宋体"/>
                <w:sz w:val="18"/>
                <w:szCs w:val="18"/>
                <w:highlight w:val="none"/>
                <w:lang w:val="en-US" w:eastAsia="zh-CN"/>
              </w:rPr>
              <w:t>SRLJ</w:t>
            </w:r>
            <w:r>
              <w:rPr>
                <w:rFonts w:hint="eastAsia" w:ascii="宋体" w:hAnsi="宋体" w:eastAsia="宋体" w:cs="宋体"/>
                <w:sz w:val="18"/>
                <w:szCs w:val="18"/>
                <w:highlight w:val="none"/>
              </w:rPr>
              <w:t>01</w:t>
            </w:r>
          </w:p>
        </w:tc>
        <w:tc>
          <w:tcPr>
            <w:tcW w:w="4275" w:type="pct"/>
            <w:vAlign w:val="center"/>
          </w:tcPr>
          <w:p w14:paraId="289CA545">
            <w:pPr>
              <w:pStyle w:val="4"/>
              <w:adjustRightInd w:val="0"/>
              <w:snapToGrid w:val="0"/>
              <w:spacing w:before="120" w:beforeLines="50"/>
              <w:rPr>
                <w:rFonts w:hint="eastAsia" w:ascii="宋体" w:hAnsi="宋体" w:eastAsia="宋体" w:cs="宋体"/>
                <w:sz w:val="18"/>
                <w:szCs w:val="18"/>
                <w:highlight w:val="none"/>
              </w:rPr>
            </w:pPr>
            <w:r>
              <w:rPr>
                <w:rFonts w:hint="eastAsia" w:ascii="宋体" w:hAnsi="宋体" w:eastAsia="宋体" w:cs="宋体"/>
                <w:sz w:val="18"/>
                <w:szCs w:val="18"/>
                <w:highlight w:val="none"/>
              </w:rPr>
              <w:t>投标人（以联合体形式投标的，指联合体</w:t>
            </w:r>
            <w:r>
              <w:rPr>
                <w:rFonts w:hint="eastAsia" w:ascii="宋体" w:hAnsi="宋体" w:eastAsia="宋体" w:cs="宋体"/>
                <w:sz w:val="18"/>
                <w:szCs w:val="18"/>
                <w:highlight w:val="none"/>
                <w:lang w:val="en-US" w:eastAsia="zh-CN"/>
              </w:rPr>
              <w:t>所有成员</w:t>
            </w:r>
            <w:r>
              <w:rPr>
                <w:rFonts w:hint="eastAsia" w:ascii="宋体" w:hAnsi="宋体" w:eastAsia="宋体" w:cs="宋体"/>
                <w:sz w:val="18"/>
                <w:szCs w:val="18"/>
                <w:highlight w:val="none"/>
              </w:rPr>
              <w:t>）财务状况良好，须提供承诺函（格式自拟）并加盖投标人单位公章。</w:t>
            </w:r>
          </w:p>
        </w:tc>
      </w:tr>
    </w:tbl>
    <w:p w14:paraId="1D0B1C5C">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p>
    <w:p w14:paraId="726B95D1">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r>
        <w:rPr>
          <w:rFonts w:hint="eastAsia" w:ascii="宋体" w:hAnsi="宋体" w:eastAsia="宋体" w:cs="宋体"/>
          <w:sz w:val="18"/>
          <w:szCs w:val="18"/>
          <w:highlight w:val="none"/>
          <w:lang w:val="zh-CN"/>
        </w:rPr>
        <w:t>附录3资格审查条件（业绩最低要求）</w:t>
      </w:r>
    </w:p>
    <w:tbl>
      <w:tblPr>
        <w:tblStyle w:val="8"/>
        <w:tblW w:w="48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8167"/>
      </w:tblGrid>
      <w:tr w14:paraId="65804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16" w:type="pct"/>
            <w:vAlign w:val="center"/>
          </w:tcPr>
          <w:p w14:paraId="245F706F">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标段</w:t>
            </w:r>
          </w:p>
        </w:tc>
        <w:tc>
          <w:tcPr>
            <w:tcW w:w="4283" w:type="pct"/>
            <w:vAlign w:val="center"/>
          </w:tcPr>
          <w:p w14:paraId="7C690F63">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b/>
                <w:bCs/>
                <w:sz w:val="18"/>
                <w:szCs w:val="18"/>
                <w:highlight w:val="none"/>
              </w:rPr>
              <w:t>业绩要求</w:t>
            </w:r>
          </w:p>
        </w:tc>
      </w:tr>
      <w:tr w14:paraId="62E8F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1365" w:type="dxa"/>
            <w:vAlign w:val="center"/>
          </w:tcPr>
          <w:p w14:paraId="05BA65FD">
            <w:pPr>
              <w:adjustRightInd w:val="0"/>
              <w:snapToGrid w:val="0"/>
              <w:spacing w:before="120" w:beforeLines="50" w:after="120" w:after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SRLJ</w:t>
            </w:r>
            <w:r>
              <w:rPr>
                <w:rFonts w:hint="eastAsia" w:ascii="宋体" w:hAnsi="宋体" w:eastAsia="宋体" w:cs="宋体"/>
                <w:sz w:val="18"/>
                <w:szCs w:val="18"/>
                <w:highlight w:val="none"/>
              </w:rPr>
              <w:t>01</w:t>
            </w:r>
          </w:p>
        </w:tc>
        <w:tc>
          <w:tcPr>
            <w:tcW w:w="8167" w:type="dxa"/>
            <w:vAlign w:val="center"/>
          </w:tcPr>
          <w:p w14:paraId="5AE75A4C">
            <w:pPr>
              <w:adjustRightInd w:val="0"/>
              <w:snapToGrid w:val="0"/>
              <w:ind w:firstLine="36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投标人（如为联合体则为联合体所有成员）近五年（2021年1月1日至今，以交工时间为准）</w:t>
            </w:r>
            <w:r>
              <w:rPr>
                <w:rFonts w:hint="eastAsia" w:ascii="宋体" w:hAnsi="宋体" w:eastAsia="宋体" w:cs="宋体"/>
                <w:sz w:val="18"/>
                <w:szCs w:val="18"/>
                <w:highlight w:val="none"/>
                <w:lang w:val="en-US" w:eastAsia="zh-CN"/>
              </w:rPr>
              <w:t>应</w:t>
            </w:r>
            <w:r>
              <w:rPr>
                <w:rFonts w:hint="eastAsia" w:ascii="宋体" w:hAnsi="宋体" w:eastAsia="宋体" w:cs="宋体"/>
                <w:sz w:val="18"/>
                <w:szCs w:val="18"/>
                <w:highlight w:val="none"/>
              </w:rPr>
              <w:t>完成</w:t>
            </w:r>
            <w:r>
              <w:rPr>
                <w:rFonts w:hint="eastAsia" w:ascii="宋体" w:hAnsi="宋体" w:eastAsia="宋体" w:cs="宋体"/>
                <w:sz w:val="18"/>
                <w:szCs w:val="18"/>
                <w:highlight w:val="none"/>
                <w:lang w:val="en-US" w:eastAsia="zh-CN"/>
              </w:rPr>
              <w:t>过</w:t>
            </w:r>
            <w:r>
              <w:rPr>
                <w:rFonts w:hint="eastAsia" w:ascii="宋体" w:hAnsi="宋体" w:eastAsia="宋体" w:cs="宋体"/>
                <w:sz w:val="18"/>
                <w:szCs w:val="18"/>
                <w:highlight w:val="none"/>
              </w:rPr>
              <w:t>1项二级或以上公路</w:t>
            </w:r>
            <w:r>
              <w:rPr>
                <w:rFonts w:hint="eastAsia" w:ascii="宋体" w:hAnsi="宋体" w:eastAsia="宋体" w:cs="宋体"/>
                <w:sz w:val="18"/>
                <w:szCs w:val="18"/>
                <w:highlight w:val="none"/>
                <w:lang w:val="en-US" w:eastAsia="zh-CN"/>
              </w:rPr>
              <w:t>工程</w:t>
            </w:r>
            <w:r>
              <w:rPr>
                <w:rFonts w:hint="eastAsia" w:ascii="宋体" w:hAnsi="宋体" w:eastAsia="宋体" w:cs="宋体"/>
                <w:sz w:val="18"/>
                <w:szCs w:val="18"/>
                <w:highlight w:val="none"/>
              </w:rPr>
              <w:t>施工业绩。</w:t>
            </w:r>
          </w:p>
          <w:p w14:paraId="78800912">
            <w:pPr>
              <w:tabs>
                <w:tab w:val="left" w:pos="3780"/>
              </w:tabs>
              <w:ind w:firstLine="420"/>
              <w:rPr>
                <w:rFonts w:hint="eastAsia" w:ascii="宋体" w:hAnsi="宋体" w:eastAsia="宋体" w:cs="宋体"/>
                <w:kern w:val="0"/>
                <w:sz w:val="18"/>
                <w:szCs w:val="18"/>
                <w:highlight w:val="none"/>
              </w:rPr>
            </w:pPr>
            <w:r>
              <w:rPr>
                <w:rFonts w:hint="eastAsia" w:ascii="宋体" w:hAnsi="宋体" w:eastAsia="宋体" w:cs="宋体"/>
                <w:sz w:val="18"/>
                <w:szCs w:val="18"/>
                <w:highlight w:val="none"/>
              </w:rPr>
              <w:t>注：施工业绩的施工内容中应至少包含路基、路面或桥梁三类工程中的一项，且应为国内新建、改扩建二级或以上公路业绩；养护工程及国外工程业绩不能作为本次招标的施工业绩；以上业绩均应是已列入</w:t>
            </w:r>
            <w:r>
              <w:rPr>
                <w:rFonts w:hint="eastAsia" w:ascii="宋体" w:hAnsi="宋体" w:eastAsia="宋体" w:cs="宋体"/>
                <w:sz w:val="18"/>
                <w:szCs w:val="18"/>
                <w:highlight w:val="none"/>
                <w:lang w:val="zh-CN"/>
              </w:rPr>
              <w:t>交通运输部“全国公路建设市场监督管理系统”或省级交通运输主管部门“公路建设市场信用信息管理系统”并公开可查业绩</w:t>
            </w:r>
            <w:r>
              <w:rPr>
                <w:rFonts w:hint="eastAsia" w:ascii="宋体" w:hAnsi="宋体" w:eastAsia="宋体" w:cs="宋体"/>
                <w:sz w:val="18"/>
                <w:szCs w:val="18"/>
                <w:highlight w:val="none"/>
              </w:rPr>
              <w:t>。</w:t>
            </w:r>
          </w:p>
        </w:tc>
      </w:tr>
    </w:tbl>
    <w:p w14:paraId="5A2BB819">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p>
    <w:p w14:paraId="4B7AE631">
      <w:pPr>
        <w:pStyle w:val="3"/>
        <w:adjustRightInd w:val="0"/>
        <w:snapToGrid w:val="0"/>
        <w:spacing w:beforeLines="50" w:after="0"/>
        <w:ind w:firstLine="180" w:firstLineChars="100"/>
        <w:jc w:val="center"/>
        <w:rPr>
          <w:rFonts w:hint="eastAsia" w:ascii="宋体" w:hAnsi="宋体" w:eastAsia="宋体" w:cs="宋体"/>
          <w:sz w:val="18"/>
          <w:szCs w:val="18"/>
          <w:highlight w:val="none"/>
          <w:lang w:val="zh-CN"/>
        </w:rPr>
      </w:pPr>
      <w:r>
        <w:rPr>
          <w:rFonts w:hint="eastAsia" w:ascii="宋体" w:hAnsi="宋体" w:eastAsia="宋体" w:cs="宋体"/>
          <w:sz w:val="18"/>
          <w:szCs w:val="18"/>
          <w:highlight w:val="none"/>
          <w:lang w:val="zh-CN"/>
        </w:rPr>
        <w:t>附录4资格审查条件（信誉最低要求）</w:t>
      </w:r>
    </w:p>
    <w:tbl>
      <w:tblPr>
        <w:tblStyle w:val="8"/>
        <w:tblW w:w="48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3"/>
        <w:gridCol w:w="8204"/>
      </w:tblGrid>
      <w:tr w14:paraId="5B568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30" w:type="pct"/>
            <w:vAlign w:val="center"/>
          </w:tcPr>
          <w:p w14:paraId="44DDC8C8">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标段</w:t>
            </w:r>
          </w:p>
        </w:tc>
        <w:tc>
          <w:tcPr>
            <w:tcW w:w="4270" w:type="pct"/>
            <w:vAlign w:val="center"/>
          </w:tcPr>
          <w:p w14:paraId="0B6C787A">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b/>
                <w:bCs/>
                <w:sz w:val="18"/>
                <w:szCs w:val="18"/>
                <w:highlight w:val="none"/>
              </w:rPr>
              <w:t>信誉要求</w:t>
            </w:r>
          </w:p>
        </w:tc>
      </w:tr>
      <w:tr w14:paraId="5D96B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30" w:type="pct"/>
            <w:vAlign w:val="center"/>
          </w:tcPr>
          <w:p w14:paraId="22C4528B">
            <w:pPr>
              <w:adjustRightInd w:val="0"/>
              <w:snapToGrid w:val="0"/>
              <w:spacing w:before="120" w:beforeLines="50"/>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SRLJ</w:t>
            </w:r>
            <w:r>
              <w:rPr>
                <w:rFonts w:hint="eastAsia" w:ascii="宋体" w:hAnsi="宋体" w:eastAsia="宋体" w:cs="宋体"/>
                <w:sz w:val="18"/>
                <w:szCs w:val="18"/>
                <w:highlight w:val="none"/>
              </w:rPr>
              <w:t>01</w:t>
            </w:r>
          </w:p>
        </w:tc>
        <w:tc>
          <w:tcPr>
            <w:tcW w:w="4270" w:type="pct"/>
            <w:vAlign w:val="center"/>
          </w:tcPr>
          <w:p w14:paraId="20C22598">
            <w:pPr>
              <w:adjustRightInd w:val="0"/>
              <w:snapToGrid w:val="0"/>
              <w:spacing w:before="120" w:beforeLines="50"/>
              <w:ind w:firstLine="180" w:firstLineChars="100"/>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满足“投标人须知”1.4.3和1.4.4的要求。</w:t>
            </w:r>
          </w:p>
        </w:tc>
      </w:tr>
    </w:tbl>
    <w:p w14:paraId="7947921A">
      <w:pPr>
        <w:pStyle w:val="3"/>
        <w:adjustRightInd w:val="0"/>
        <w:snapToGrid w:val="0"/>
        <w:spacing w:beforeLines="50" w:after="0"/>
        <w:ind w:firstLine="181" w:firstLineChars="100"/>
        <w:jc w:val="center"/>
        <w:rPr>
          <w:rFonts w:hint="eastAsia" w:ascii="宋体" w:hAnsi="宋体" w:eastAsia="宋体" w:cs="宋体"/>
          <w:sz w:val="18"/>
          <w:szCs w:val="18"/>
          <w:highlight w:val="none"/>
          <w:lang w:val="zh-CN"/>
        </w:rPr>
      </w:pPr>
      <w:r>
        <w:rPr>
          <w:rFonts w:hint="eastAsia" w:ascii="宋体" w:hAnsi="宋体" w:eastAsia="宋体" w:cs="宋体"/>
          <w:b/>
          <w:kern w:val="44"/>
          <w:sz w:val="18"/>
          <w:szCs w:val="18"/>
          <w:highlight w:val="none"/>
        </w:rPr>
        <w:br w:type="page"/>
      </w:r>
      <w:bookmarkEnd w:id="1"/>
      <w:r>
        <w:rPr>
          <w:rFonts w:hint="eastAsia" w:ascii="宋体" w:hAnsi="宋体" w:eastAsia="宋体" w:cs="宋体"/>
          <w:sz w:val="18"/>
          <w:szCs w:val="18"/>
          <w:highlight w:val="none"/>
          <w:lang w:val="zh-CN"/>
        </w:rPr>
        <w:t>附录5资格审查条件（项目经理和项目总工最低要求）</w:t>
      </w:r>
    </w:p>
    <w:p w14:paraId="49BCEA7A">
      <w:pPr>
        <w:rPr>
          <w:rFonts w:hint="eastAsia" w:ascii="宋体" w:hAnsi="宋体" w:eastAsia="宋体" w:cs="宋体"/>
          <w:sz w:val="18"/>
          <w:szCs w:val="18"/>
          <w:highlight w:val="none"/>
          <w:lang w:val="zh-CN"/>
        </w:rPr>
      </w:pPr>
    </w:p>
    <w:tbl>
      <w:tblPr>
        <w:tblStyle w:val="8"/>
        <w:tblW w:w="47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4"/>
        <w:gridCol w:w="958"/>
        <w:gridCol w:w="764"/>
        <w:gridCol w:w="6889"/>
      </w:tblGrid>
      <w:tr w14:paraId="50563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32" w:type="pct"/>
            <w:vAlign w:val="center"/>
          </w:tcPr>
          <w:p w14:paraId="6F7C2E0C">
            <w:pPr>
              <w:keepNext w:val="0"/>
              <w:keepLines w:val="0"/>
              <w:pageBreakBefore w:val="0"/>
              <w:widowControl w:val="0"/>
              <w:kinsoku/>
              <w:wordWrap/>
              <w:overflowPunct/>
              <w:topLinePunct w:val="0"/>
              <w:autoSpaceDE/>
              <w:autoSpaceDN/>
              <w:bidi w:val="0"/>
              <w:snapToGrid w:val="0"/>
              <w:spacing w:line="240" w:lineRule="exact"/>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标段</w:t>
            </w:r>
          </w:p>
        </w:tc>
        <w:tc>
          <w:tcPr>
            <w:tcW w:w="508" w:type="pct"/>
            <w:vAlign w:val="center"/>
          </w:tcPr>
          <w:p w14:paraId="09FF7980">
            <w:pPr>
              <w:keepNext w:val="0"/>
              <w:keepLines w:val="0"/>
              <w:pageBreakBefore w:val="0"/>
              <w:widowControl w:val="0"/>
              <w:kinsoku/>
              <w:wordWrap/>
              <w:overflowPunct/>
              <w:topLinePunct w:val="0"/>
              <w:autoSpaceDE/>
              <w:autoSpaceDN/>
              <w:bidi w:val="0"/>
              <w:snapToGrid w:val="0"/>
              <w:spacing w:line="240" w:lineRule="exact"/>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人员</w:t>
            </w:r>
          </w:p>
        </w:tc>
        <w:tc>
          <w:tcPr>
            <w:tcW w:w="405" w:type="pct"/>
            <w:vAlign w:val="center"/>
          </w:tcPr>
          <w:p w14:paraId="28E4CFC9">
            <w:pPr>
              <w:keepNext w:val="0"/>
              <w:keepLines w:val="0"/>
              <w:pageBreakBefore w:val="0"/>
              <w:widowControl w:val="0"/>
              <w:kinsoku/>
              <w:wordWrap/>
              <w:overflowPunct/>
              <w:topLinePunct w:val="0"/>
              <w:autoSpaceDE/>
              <w:autoSpaceDN/>
              <w:bidi w:val="0"/>
              <w:snapToGrid w:val="0"/>
              <w:spacing w:line="240" w:lineRule="exact"/>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数量</w:t>
            </w:r>
          </w:p>
        </w:tc>
        <w:tc>
          <w:tcPr>
            <w:tcW w:w="3653" w:type="pct"/>
            <w:vAlign w:val="center"/>
          </w:tcPr>
          <w:p w14:paraId="6D0412E8">
            <w:pPr>
              <w:keepNext w:val="0"/>
              <w:keepLines w:val="0"/>
              <w:pageBreakBefore w:val="0"/>
              <w:widowControl w:val="0"/>
              <w:kinsoku/>
              <w:wordWrap/>
              <w:overflowPunct/>
              <w:topLinePunct w:val="0"/>
              <w:autoSpaceDE/>
              <w:autoSpaceDN/>
              <w:bidi w:val="0"/>
              <w:snapToGrid w:val="0"/>
              <w:spacing w:line="240" w:lineRule="exact"/>
              <w:jc w:val="center"/>
              <w:textAlignment w:val="auto"/>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资格最低要求</w:t>
            </w:r>
          </w:p>
        </w:tc>
      </w:tr>
      <w:tr w14:paraId="6271C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85" w:hRule="atLeast"/>
          <w:jc w:val="center"/>
        </w:trPr>
        <w:tc>
          <w:tcPr>
            <w:tcW w:w="432" w:type="pct"/>
            <w:vMerge w:val="restart"/>
            <w:vAlign w:val="center"/>
          </w:tcPr>
          <w:p w14:paraId="1608AB1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SRLJ</w:t>
            </w:r>
            <w:r>
              <w:rPr>
                <w:rFonts w:hint="eastAsia" w:ascii="宋体" w:hAnsi="宋体" w:eastAsia="宋体" w:cs="宋体"/>
                <w:sz w:val="18"/>
                <w:szCs w:val="18"/>
                <w:highlight w:val="none"/>
              </w:rPr>
              <w:t>01</w:t>
            </w:r>
          </w:p>
        </w:tc>
        <w:tc>
          <w:tcPr>
            <w:tcW w:w="508" w:type="pct"/>
            <w:vAlign w:val="center"/>
          </w:tcPr>
          <w:p w14:paraId="6598833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项目</w:t>
            </w:r>
          </w:p>
          <w:p w14:paraId="26EFE553">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经理</w:t>
            </w:r>
          </w:p>
        </w:tc>
        <w:tc>
          <w:tcPr>
            <w:tcW w:w="405" w:type="pct"/>
            <w:vAlign w:val="center"/>
          </w:tcPr>
          <w:p w14:paraId="5C3D680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3653" w:type="pct"/>
            <w:vAlign w:val="center"/>
          </w:tcPr>
          <w:p w14:paraId="3ACCF4AA">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（1）投标人（如为联合体则为联合体牵头人）自有人员；</w:t>
            </w:r>
          </w:p>
          <w:p w14:paraId="3065CF43">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（2）具有建设行政主管部门颁发的“公路工程”专业</w:t>
            </w:r>
            <w:r>
              <w:rPr>
                <w:rFonts w:hint="eastAsia" w:ascii="宋体" w:hAnsi="宋体" w:eastAsia="宋体" w:cs="宋体"/>
                <w:sz w:val="18"/>
                <w:szCs w:val="18"/>
                <w:highlight w:val="none"/>
                <w:lang w:val="en-US" w:eastAsia="zh-CN"/>
              </w:rPr>
              <w:t>一</w:t>
            </w:r>
            <w:r>
              <w:rPr>
                <w:rFonts w:hint="eastAsia" w:ascii="宋体" w:hAnsi="宋体" w:eastAsia="宋体" w:cs="宋体"/>
                <w:sz w:val="18"/>
                <w:szCs w:val="18"/>
                <w:highlight w:val="none"/>
              </w:rPr>
              <w:t>级建造师电子注册证书，且现注册单位为投标人；</w:t>
            </w:r>
          </w:p>
          <w:p w14:paraId="4CCD11B5">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）具有交通运输主管部门颁发的有效的B类安全生产考核合格证书；</w:t>
            </w:r>
          </w:p>
          <w:p w14:paraId="722D3AD2">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）担任过1项二级或以上公路工程施工的项目经理；</w:t>
            </w:r>
          </w:p>
          <w:p w14:paraId="4C3683F9">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）无在岗项目(指目前未在其他项目上任职，或虽在其他项目上任职但本项目中标后能够从该项目撤离)。</w:t>
            </w:r>
          </w:p>
        </w:tc>
      </w:tr>
      <w:tr w14:paraId="27D9F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3" w:hRule="atLeast"/>
          <w:jc w:val="center"/>
        </w:trPr>
        <w:tc>
          <w:tcPr>
            <w:tcW w:w="432" w:type="pct"/>
            <w:vMerge w:val="continue"/>
            <w:vAlign w:val="center"/>
          </w:tcPr>
          <w:p w14:paraId="40FA535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p>
        </w:tc>
        <w:tc>
          <w:tcPr>
            <w:tcW w:w="508" w:type="pct"/>
            <w:vAlign w:val="center"/>
          </w:tcPr>
          <w:p w14:paraId="5E5B1E6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项目</w:t>
            </w:r>
          </w:p>
          <w:p w14:paraId="68AAE07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总工</w:t>
            </w:r>
          </w:p>
        </w:tc>
        <w:tc>
          <w:tcPr>
            <w:tcW w:w="405" w:type="pct"/>
            <w:vAlign w:val="center"/>
          </w:tcPr>
          <w:p w14:paraId="7E71F6C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3653" w:type="pct"/>
            <w:vAlign w:val="center"/>
          </w:tcPr>
          <w:p w14:paraId="7515A11C">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（1）投标人（如为联合体则为联合体牵头人）自有人员；</w:t>
            </w:r>
          </w:p>
          <w:p w14:paraId="59D2A795">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（2）具有公路工程相关专业高级技术职称；</w:t>
            </w:r>
          </w:p>
          <w:p w14:paraId="0173D513">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（3）担任过1项二级或以上公路工程施工的项目总工；</w:t>
            </w:r>
          </w:p>
          <w:p w14:paraId="53B37D47">
            <w:pPr>
              <w:keepNext w:val="0"/>
              <w:keepLines w:val="0"/>
              <w:pageBreakBefore w:val="0"/>
              <w:widowControl w:val="0"/>
              <w:kinsoku/>
              <w:wordWrap/>
              <w:overflowPunct/>
              <w:topLinePunct w:val="0"/>
              <w:autoSpaceDE/>
              <w:autoSpaceDN/>
              <w:bidi w:val="0"/>
              <w:spacing w:line="240" w:lineRule="exact"/>
              <w:textAlignment w:val="auto"/>
              <w:rPr>
                <w:rFonts w:hint="eastAsia" w:ascii="宋体" w:hAnsi="宋体" w:eastAsia="宋体" w:cs="宋体"/>
                <w:sz w:val="18"/>
                <w:szCs w:val="18"/>
                <w:highlight w:val="none"/>
                <w:lang w:val="zh-CN"/>
              </w:rPr>
            </w:pPr>
            <w:r>
              <w:rPr>
                <w:rFonts w:hint="eastAsia" w:ascii="宋体" w:hAnsi="宋体" w:eastAsia="宋体" w:cs="宋体"/>
                <w:sz w:val="18"/>
                <w:szCs w:val="18"/>
                <w:highlight w:val="none"/>
              </w:rPr>
              <w:t>（4）无在岗项目(指目前未在其他项目上任职，或虽在其他项目上任职但本项目中标后能够从该项目撤离)。</w:t>
            </w:r>
          </w:p>
        </w:tc>
      </w:tr>
    </w:tbl>
    <w:p w14:paraId="70404630">
      <w:pPr>
        <w:rPr>
          <w:rFonts w:hint="eastAsia" w:ascii="宋体" w:hAnsi="宋体" w:eastAsia="宋体" w:cs="宋体"/>
          <w:sz w:val="18"/>
          <w:szCs w:val="18"/>
          <w:highlight w:val="none"/>
        </w:rPr>
      </w:pPr>
    </w:p>
    <w:bookmarkEnd w:id="2"/>
    <w:bookmarkEnd w:id="3"/>
    <w:bookmarkEnd w:id="4"/>
    <w:bookmarkEnd w:id="5"/>
    <w:bookmarkEnd w:id="6"/>
    <w:bookmarkEnd w:id="7"/>
    <w:bookmarkEnd w:id="8"/>
    <w:bookmarkEnd w:id="9"/>
    <w:p w14:paraId="6CD1A4BC">
      <w:pPr>
        <w:adjustRightInd w:val="0"/>
        <w:snapToGrid w:val="0"/>
        <w:spacing w:before="120" w:beforeLines="50"/>
        <w:jc w:val="left"/>
        <w:rPr>
          <w:rFonts w:hint="eastAsia" w:ascii="宋体" w:hAnsi="宋体" w:eastAsia="宋体" w:cs="宋体"/>
          <w:b/>
          <w:bCs/>
          <w:sz w:val="18"/>
          <w:szCs w:val="18"/>
          <w:highlight w:val="none"/>
        </w:rPr>
      </w:pPr>
      <w:r>
        <w:rPr>
          <w:rFonts w:hint="eastAsia" w:ascii="宋体" w:hAnsi="宋体" w:eastAsia="宋体" w:cs="宋体"/>
          <w:b/>
          <w:bCs/>
          <w:sz w:val="18"/>
          <w:szCs w:val="18"/>
          <w:highlight w:val="none"/>
        </w:rPr>
        <w:t>注：①项目经理和项目总工不得互相兼职。</w:t>
      </w:r>
    </w:p>
    <w:p w14:paraId="41A99F88">
      <w:pPr>
        <w:adjustRightInd w:val="0"/>
        <w:snapToGrid w:val="0"/>
        <w:spacing w:before="120" w:beforeLines="50"/>
        <w:ind w:firstLine="361" w:firstLineChars="200"/>
        <w:jc w:val="left"/>
        <w:rPr>
          <w:rFonts w:hint="eastAsia" w:ascii="宋体" w:hAnsi="宋体" w:eastAsia="宋体" w:cs="宋体"/>
          <w:b/>
          <w:bCs/>
          <w:sz w:val="18"/>
          <w:szCs w:val="18"/>
          <w:highlight w:val="none"/>
          <w:lang w:val="zh-CN"/>
        </w:rPr>
      </w:pPr>
      <w:r>
        <w:rPr>
          <w:rFonts w:hint="eastAsia" w:ascii="宋体" w:hAnsi="宋体" w:eastAsia="宋体" w:cs="宋体"/>
          <w:b/>
          <w:bCs/>
          <w:sz w:val="18"/>
          <w:szCs w:val="18"/>
          <w:highlight w:val="none"/>
        </w:rPr>
        <w:t>②“投标人自有人员”指投标人为其申报社会保险登记，并为其缴纳社会保险费的人员。</w:t>
      </w:r>
    </w:p>
    <w:p w14:paraId="3C36271F">
      <w:pPr>
        <w:adjustRightInd w:val="0"/>
        <w:snapToGrid w:val="0"/>
        <w:spacing w:before="120" w:beforeLines="50"/>
        <w:ind w:firstLine="361" w:firstLineChars="200"/>
        <w:jc w:val="left"/>
        <w:rPr>
          <w:rFonts w:hint="eastAsia" w:ascii="宋体" w:hAnsi="宋体" w:eastAsia="宋体" w:cs="宋体"/>
          <w:b/>
          <w:bCs/>
          <w:sz w:val="18"/>
          <w:szCs w:val="18"/>
          <w:highlight w:val="none"/>
          <w:lang w:val="zh-CN"/>
        </w:rPr>
      </w:pPr>
      <w:r>
        <w:rPr>
          <w:rFonts w:hint="eastAsia" w:ascii="宋体" w:hAnsi="宋体" w:eastAsia="宋体" w:cs="宋体"/>
          <w:b/>
          <w:bCs/>
          <w:sz w:val="18"/>
          <w:szCs w:val="18"/>
          <w:highlight w:val="none"/>
        </w:rPr>
        <w:t>③人员业绩内容中应至少包含路基、路面或桥梁三类工程中的一项，且应为国内新建、改扩建二级或以上公路业绩；养护工程业绩不能作为本次招标的人员业绩；以上业绩均应是已列入</w:t>
      </w:r>
      <w:r>
        <w:rPr>
          <w:rFonts w:hint="eastAsia" w:ascii="宋体" w:hAnsi="宋体" w:eastAsia="宋体" w:cs="宋体"/>
          <w:b/>
          <w:bCs/>
          <w:sz w:val="18"/>
          <w:szCs w:val="18"/>
          <w:highlight w:val="none"/>
          <w:lang w:val="zh-CN"/>
        </w:rPr>
        <w:t>交通运输部“全国公路建设市场监督管理系统”或省级交通运输主管部门“公路建设市场信用信息管理系统”并公开可查业绩，除网页截图复印件外，投标人无须再提供任何业绩证明材料。</w:t>
      </w:r>
      <w:bookmarkStart w:id="10" w:name="_Toc19157"/>
      <w:bookmarkStart w:id="11" w:name="_Toc10751"/>
      <w:bookmarkStart w:id="12" w:name="_Toc25796"/>
      <w:bookmarkStart w:id="13" w:name="_Toc64810268"/>
    </w:p>
    <w:p w14:paraId="78C2D155">
      <w:pPr>
        <w:adjustRightInd w:val="0"/>
        <w:snapToGrid w:val="0"/>
        <w:spacing w:before="120" w:beforeLines="50"/>
        <w:ind w:firstLine="360" w:firstLineChars="200"/>
        <w:jc w:val="center"/>
        <w:rPr>
          <w:rFonts w:hint="eastAsia" w:ascii="宋体" w:hAnsi="宋体" w:eastAsia="宋体" w:cs="宋体"/>
          <w:bCs/>
          <w:color w:val="auto"/>
          <w:kern w:val="44"/>
          <w:sz w:val="18"/>
          <w:szCs w:val="18"/>
        </w:rPr>
      </w:pPr>
      <w:r>
        <w:rPr>
          <w:rFonts w:hint="eastAsia" w:ascii="宋体" w:hAnsi="宋体" w:eastAsia="宋体" w:cs="宋体"/>
          <w:bCs/>
          <w:color w:val="auto"/>
          <w:kern w:val="44"/>
          <w:sz w:val="18"/>
          <w:szCs w:val="18"/>
        </w:rPr>
        <w:t>评标办法（综合评分法）</w:t>
      </w:r>
    </w:p>
    <w:p w14:paraId="0DB8E270">
      <w:pPr>
        <w:keepNext/>
        <w:keepLines/>
        <w:adjustRightInd w:val="0"/>
        <w:snapToGrid w:val="0"/>
        <w:outlineLvl w:val="2"/>
        <w:rPr>
          <w:rFonts w:hint="eastAsia" w:ascii="宋体" w:hAnsi="宋体" w:eastAsia="宋体" w:cs="宋体"/>
          <w:bCs/>
          <w:kern w:val="0"/>
          <w:sz w:val="18"/>
          <w:szCs w:val="18"/>
          <w:highlight w:val="none"/>
        </w:rPr>
      </w:pPr>
      <w:r>
        <w:rPr>
          <w:rFonts w:hint="eastAsia" w:ascii="宋体" w:hAnsi="宋体" w:eastAsia="宋体" w:cs="宋体"/>
          <w:bCs/>
          <w:kern w:val="0"/>
          <w:sz w:val="18"/>
          <w:szCs w:val="18"/>
          <w:highlight w:val="none"/>
        </w:rPr>
        <w:t>评标办法前附表</w:t>
      </w:r>
      <w:r>
        <w:rPr>
          <w:rFonts w:hint="eastAsia" w:ascii="宋体" w:hAnsi="宋体" w:eastAsia="宋体" w:cs="宋体"/>
          <w:bCs/>
          <w:kern w:val="0"/>
          <w:sz w:val="18"/>
          <w:szCs w:val="18"/>
          <w:highlight w:val="none"/>
          <w:vertAlign w:val="superscript"/>
        </w:rPr>
        <w:footnoteReference w:id="0"/>
      </w:r>
      <w:bookmarkEnd w:id="10"/>
      <w:bookmarkEnd w:id="11"/>
      <w:bookmarkEnd w:id="12"/>
      <w:bookmarkEnd w:id="13"/>
    </w:p>
    <w:tbl>
      <w:tblPr>
        <w:tblStyle w:val="8"/>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180"/>
        <w:gridCol w:w="7726"/>
      </w:tblGrid>
      <w:tr w14:paraId="3B37B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72" w:hRule="atLeast"/>
          <w:tblHeader/>
          <w:jc w:val="center"/>
        </w:trPr>
        <w:tc>
          <w:tcPr>
            <w:tcW w:w="1902" w:type="dxa"/>
            <w:gridSpan w:val="2"/>
            <w:shd w:val="clear" w:color="auto" w:fill="auto"/>
            <w:vAlign w:val="center"/>
          </w:tcPr>
          <w:p w14:paraId="08D3A3CE">
            <w:pPr>
              <w:keepNext w:val="0"/>
              <w:keepLines w:val="0"/>
              <w:pageBreakBefore w:val="0"/>
              <w:kinsoku/>
              <w:wordWrap/>
              <w:overflowPunct/>
              <w:topLinePunct w:val="0"/>
              <w:autoSpaceDE w:val="0"/>
              <w:autoSpaceDN w:val="0"/>
              <w:bidi w:val="0"/>
              <w:adjustRightInd w:val="0"/>
              <w:snapToGrid w:val="0"/>
              <w:spacing w:line="240" w:lineRule="exact"/>
              <w:ind w:firstLine="180" w:firstLineChars="10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条款号</w:t>
            </w:r>
          </w:p>
        </w:tc>
        <w:tc>
          <w:tcPr>
            <w:tcW w:w="7726" w:type="dxa"/>
            <w:shd w:val="clear" w:color="auto" w:fill="auto"/>
            <w:vAlign w:val="center"/>
          </w:tcPr>
          <w:p w14:paraId="3A3FC365">
            <w:pPr>
              <w:keepNext w:val="0"/>
              <w:keepLines w:val="0"/>
              <w:pageBreakBefore w:val="0"/>
              <w:kinsoku/>
              <w:wordWrap/>
              <w:overflowPunct/>
              <w:topLinePunct w:val="0"/>
              <w:autoSpaceDE w:val="0"/>
              <w:autoSpaceDN w:val="0"/>
              <w:bidi w:val="0"/>
              <w:adjustRightInd w:val="0"/>
              <w:snapToGrid w:val="0"/>
              <w:spacing w:line="240" w:lineRule="exact"/>
              <w:ind w:firstLine="180" w:firstLineChars="10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评审因素与评审标准</w:t>
            </w:r>
          </w:p>
        </w:tc>
      </w:tr>
      <w:tr w14:paraId="6890B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526" w:hRule="atLeast"/>
          <w:jc w:val="center"/>
        </w:trPr>
        <w:tc>
          <w:tcPr>
            <w:tcW w:w="722" w:type="dxa"/>
            <w:shd w:val="clear" w:color="auto" w:fill="auto"/>
            <w:vAlign w:val="center"/>
          </w:tcPr>
          <w:p w14:paraId="647EFF52">
            <w:pPr>
              <w:keepNext w:val="0"/>
              <w:keepLines w:val="0"/>
              <w:pageBreakBefore w:val="0"/>
              <w:kinsoku/>
              <w:wordWrap/>
              <w:overflowPunct/>
              <w:topLinePunct w:val="0"/>
              <w:autoSpaceDE w:val="0"/>
              <w:autoSpaceDN w:val="0"/>
              <w:bidi w:val="0"/>
              <w:adjustRightInd w:val="0"/>
              <w:snapToGrid w:val="0"/>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w:t>
            </w:r>
          </w:p>
        </w:tc>
        <w:tc>
          <w:tcPr>
            <w:tcW w:w="1180" w:type="dxa"/>
            <w:shd w:val="clear" w:color="auto" w:fill="auto"/>
            <w:vAlign w:val="center"/>
          </w:tcPr>
          <w:p w14:paraId="7715EA24">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评标方法</w:t>
            </w:r>
          </w:p>
        </w:tc>
        <w:tc>
          <w:tcPr>
            <w:tcW w:w="7726" w:type="dxa"/>
            <w:shd w:val="clear" w:color="auto" w:fill="auto"/>
            <w:vAlign w:val="center"/>
          </w:tcPr>
          <w:p w14:paraId="1EC462DD">
            <w:pPr>
              <w:pStyle w:val="7"/>
              <w:keepNext w:val="0"/>
              <w:keepLines w:val="0"/>
              <w:pageBreakBefore w:val="0"/>
              <w:kinsoku/>
              <w:wordWrap/>
              <w:overflowPunct/>
              <w:topLinePunct w:val="0"/>
              <w:bidi w:val="0"/>
              <w:spacing w:before="0" w:beforeAutospacing="0" w:after="0" w:afterAutospacing="0" w:line="240" w:lineRule="exact"/>
              <w:ind w:firstLine="360" w:firstLineChars="200"/>
              <w:jc w:val="both"/>
              <w:textAlignment w:val="auto"/>
              <w:rPr>
                <w:rFonts w:hint="eastAsia" w:ascii="宋体" w:hAnsi="宋体" w:eastAsia="宋体" w:cs="宋体"/>
                <w:kern w:val="2"/>
                <w:sz w:val="18"/>
                <w:szCs w:val="18"/>
                <w:highlight w:val="none"/>
              </w:rPr>
            </w:pPr>
            <w:r>
              <w:rPr>
                <w:rFonts w:hint="eastAsia" w:ascii="宋体" w:hAnsi="宋体" w:eastAsia="宋体" w:cs="宋体"/>
                <w:kern w:val="2"/>
                <w:sz w:val="18"/>
                <w:szCs w:val="18"/>
                <w:highlight w:val="none"/>
              </w:rPr>
              <w:t>本次评标采用综合评分法（施工组织设计采用“盲评”方式），即投标文件的商务部分按招标文件要求进行评分，技术部分采用“暗标”形式，公共资源交易一体化平台评标系统将所有投标人的技术标随机排序。评标专家在不知晓投标人信息的情况下进行评审，由系统自动汇总评审情况，按程序确定中标候选人。</w:t>
            </w:r>
          </w:p>
          <w:p w14:paraId="6F116E75">
            <w:pPr>
              <w:keepNext w:val="0"/>
              <w:keepLines w:val="0"/>
              <w:pageBreakBefore w:val="0"/>
              <w:kinsoku/>
              <w:wordWrap/>
              <w:overflowPunct/>
              <w:topLinePunct w:val="0"/>
              <w:bidi w:val="0"/>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综合评分相等时，评标委员会依次按照以下优先顺序推荐中标候选人：</w:t>
            </w:r>
          </w:p>
          <w:p w14:paraId="0AC764DC">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（1）评标价低的投标人优先；</w:t>
            </w:r>
          </w:p>
          <w:p w14:paraId="1E750432">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（2）被吉林省交通运输厅2025年度省级综合评价评为较高信用等级的投标人优先；</w:t>
            </w:r>
          </w:p>
          <w:p w14:paraId="0A2EB574">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（3）施工组织设计得分高的投标人优先；</w:t>
            </w:r>
          </w:p>
          <w:p w14:paraId="3CF3DAF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（4）主要人员得分高的投标人优先。</w:t>
            </w:r>
          </w:p>
          <w:p w14:paraId="7223F59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若以上均相等，则由评标委员会表决确定其排序先后。</w:t>
            </w:r>
          </w:p>
        </w:tc>
      </w:tr>
      <w:tr w14:paraId="3F827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01" w:hRule="atLeast"/>
          <w:jc w:val="center"/>
        </w:trPr>
        <w:tc>
          <w:tcPr>
            <w:tcW w:w="722" w:type="dxa"/>
            <w:shd w:val="clear" w:color="auto" w:fill="auto"/>
            <w:vAlign w:val="center"/>
          </w:tcPr>
          <w:p w14:paraId="12200886">
            <w:pPr>
              <w:keepNext w:val="0"/>
              <w:keepLines w:val="0"/>
              <w:pageBreakBefore w:val="0"/>
              <w:kinsoku/>
              <w:wordWrap/>
              <w:overflowPunct/>
              <w:topLinePunct w:val="0"/>
              <w:autoSpaceDE w:val="0"/>
              <w:autoSpaceDN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2.1.1</w:t>
            </w:r>
          </w:p>
          <w:p w14:paraId="71F3C2F6">
            <w:pPr>
              <w:keepNext w:val="0"/>
              <w:keepLines w:val="0"/>
              <w:pageBreakBefore w:val="0"/>
              <w:kinsoku/>
              <w:wordWrap/>
              <w:overflowPunct/>
              <w:topLinePunct w:val="0"/>
              <w:autoSpaceDE w:val="0"/>
              <w:autoSpaceDN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2.1.3</w:t>
            </w:r>
          </w:p>
        </w:tc>
        <w:tc>
          <w:tcPr>
            <w:tcW w:w="1180" w:type="dxa"/>
            <w:shd w:val="clear" w:color="auto" w:fill="auto"/>
            <w:vAlign w:val="center"/>
          </w:tcPr>
          <w:p w14:paraId="2F8B3FBE">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形式评审与</w:t>
            </w:r>
          </w:p>
          <w:p w14:paraId="0C1936EA">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响应性评审</w:t>
            </w:r>
          </w:p>
          <w:p w14:paraId="3E5C6F26">
            <w:pPr>
              <w:keepNext w:val="0"/>
              <w:keepLines w:val="0"/>
              <w:pageBreakBefore w:val="0"/>
              <w:kinsoku/>
              <w:wordWrap/>
              <w:overflowPunct/>
              <w:topLinePunct w:val="0"/>
              <w:bidi w:val="0"/>
              <w:adjustRightInd w:val="0"/>
              <w:snapToGrid w:val="0"/>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标准</w:t>
            </w:r>
          </w:p>
        </w:tc>
        <w:tc>
          <w:tcPr>
            <w:tcW w:w="7726" w:type="dxa"/>
            <w:shd w:val="clear" w:color="auto" w:fill="auto"/>
            <w:vAlign w:val="center"/>
          </w:tcPr>
          <w:p w14:paraId="7B20CADC">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第一个信封（商务文件）评审标准：</w:t>
            </w:r>
          </w:p>
          <w:p w14:paraId="341353C2">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（1）投标文件按照招标文件规定的格式、内容填写，字迹清晰可辨：</w:t>
            </w:r>
          </w:p>
          <w:p w14:paraId="6480FA70">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a.投标函按招标文件规定填报了项目名称、标段号、补遗书编号（如有）、工期、工程质量要求及安全目标；</w:t>
            </w:r>
          </w:p>
          <w:p w14:paraId="43148709">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b.投标函附录的所有数据均符合招标文件规定；</w:t>
            </w:r>
          </w:p>
          <w:p w14:paraId="058D30C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c.投标文件组成齐全完整，内容均按规定填写。</w:t>
            </w:r>
          </w:p>
          <w:p w14:paraId="1494E0DE">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（2）投标文件上法定代表人或其委托代理人的签字、投标人的单位章盖章齐全，符合招标文件规定。</w:t>
            </w:r>
          </w:p>
          <w:p w14:paraId="2E835C52">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（3）投标人按照招标文件的规定提供了投标保证金：</w:t>
            </w:r>
          </w:p>
          <w:p w14:paraId="00798E0F">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a.投标保证金金额符合招标文件规定的金额，且投标保证金有效期不少于投标有效期；</w:t>
            </w:r>
          </w:p>
          <w:p w14:paraId="524B87E0">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b.若投标保证金采用</w:t>
            </w:r>
            <w:r>
              <w:rPr>
                <w:rFonts w:hint="eastAsia" w:ascii="宋体" w:hAnsi="宋体" w:eastAsia="宋体" w:cs="宋体"/>
                <w:kern w:val="0"/>
                <w:sz w:val="18"/>
                <w:szCs w:val="18"/>
                <w:highlight w:val="none"/>
              </w:rPr>
              <w:t>现金或支票形式</w:t>
            </w:r>
            <w:r>
              <w:rPr>
                <w:rFonts w:hint="eastAsia" w:ascii="宋体" w:hAnsi="宋体" w:eastAsia="宋体" w:cs="宋体"/>
                <w:sz w:val="18"/>
                <w:szCs w:val="18"/>
                <w:highlight w:val="none"/>
              </w:rPr>
              <w:t>提交，投标人应在招标文件规定的截止时间之前，将投标保证金一次性由投标人的基本账户转入招标人指定账户；</w:t>
            </w:r>
          </w:p>
          <w:p w14:paraId="36A87F95">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c.若投标保证金采用保函或保单形式提交，满足招标文件要求。</w:t>
            </w:r>
          </w:p>
          <w:p w14:paraId="793348F3">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（4）投标人法定代表人授权委托代理人签署投标文件的，须提交授权委托书，授权委托书符合招标文件规定。</w:t>
            </w:r>
          </w:p>
        </w:tc>
      </w:tr>
      <w:tr w14:paraId="723F8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44" w:hRule="atLeast"/>
          <w:jc w:val="center"/>
        </w:trPr>
        <w:tc>
          <w:tcPr>
            <w:tcW w:w="722" w:type="dxa"/>
            <w:shd w:val="clear" w:color="auto" w:fill="auto"/>
            <w:vAlign w:val="center"/>
          </w:tcPr>
          <w:p w14:paraId="0B7FF55F">
            <w:pPr>
              <w:keepNext w:val="0"/>
              <w:keepLines w:val="0"/>
              <w:pageBreakBefore w:val="0"/>
              <w:kinsoku/>
              <w:wordWrap/>
              <w:overflowPunct/>
              <w:topLinePunct w:val="0"/>
              <w:autoSpaceDE w:val="0"/>
              <w:autoSpaceDN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2.1.1</w:t>
            </w:r>
          </w:p>
          <w:p w14:paraId="46F4EA9E">
            <w:pPr>
              <w:keepNext w:val="0"/>
              <w:keepLines w:val="0"/>
              <w:pageBreakBefore w:val="0"/>
              <w:kinsoku/>
              <w:wordWrap/>
              <w:overflowPunct/>
              <w:topLinePunct w:val="0"/>
              <w:autoSpaceDE w:val="0"/>
              <w:autoSpaceDN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2.1.3</w:t>
            </w:r>
          </w:p>
        </w:tc>
        <w:tc>
          <w:tcPr>
            <w:tcW w:w="1180" w:type="dxa"/>
            <w:shd w:val="clear" w:color="auto" w:fill="auto"/>
            <w:vAlign w:val="center"/>
          </w:tcPr>
          <w:p w14:paraId="3CD99693">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形式评审与</w:t>
            </w:r>
          </w:p>
          <w:p w14:paraId="027263D1">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响应性评审</w:t>
            </w:r>
          </w:p>
          <w:p w14:paraId="796BF74E">
            <w:pPr>
              <w:keepNext w:val="0"/>
              <w:keepLines w:val="0"/>
              <w:pageBreakBefore w:val="0"/>
              <w:kinsoku/>
              <w:wordWrap/>
              <w:overflowPunct/>
              <w:topLinePunct w:val="0"/>
              <w:bidi w:val="0"/>
              <w:adjustRightInd w:val="0"/>
              <w:snapToGrid w:val="0"/>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标准</w:t>
            </w:r>
          </w:p>
        </w:tc>
        <w:tc>
          <w:tcPr>
            <w:tcW w:w="7726" w:type="dxa"/>
            <w:shd w:val="clear" w:color="auto" w:fill="auto"/>
            <w:vAlign w:val="center"/>
          </w:tcPr>
          <w:p w14:paraId="3DFB55E3">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（5）投标人法定代表人亲自签署投标文件的，提供了法定代表人身份证明，法定代表人身份证明符合招标文件规定。</w:t>
            </w:r>
          </w:p>
          <w:p w14:paraId="6E1ABB4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（6）投标人以联合体形式投标时，联合体满足招标文件的要求：投标人按照招标文件提供的格式签订了联合体协议书，明确各方承担连带责任，并明确了联合体牵头人。</w:t>
            </w:r>
          </w:p>
          <w:p w14:paraId="128EABFF">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（7）投标人分包情况符合招标文件规定。</w:t>
            </w:r>
          </w:p>
          <w:p w14:paraId="0669010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（8）同一投标人未提交两个以上不同的投标文件。</w:t>
            </w:r>
          </w:p>
          <w:p w14:paraId="0558FD2E">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（9）投标文件中未出现有关投标报价的内容。</w:t>
            </w:r>
          </w:p>
          <w:p w14:paraId="41F57174">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（10）投标文件载明的招标项目完成期限未超过招标文件规定的时限。</w:t>
            </w:r>
          </w:p>
          <w:p w14:paraId="000E3B4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（11）投标文件对招标文件的实质性要求和条件作出响应。</w:t>
            </w:r>
          </w:p>
          <w:p w14:paraId="3D048E8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（12）权利义务符合招标文件规定：</w:t>
            </w:r>
          </w:p>
          <w:p w14:paraId="72DC76F5">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a.投标人应接受招标文件规定的风险划分原则，未提出新的风险划分办法；</w:t>
            </w:r>
          </w:p>
          <w:p w14:paraId="0ECC7909">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b.投标人未增加发包人的责任范围，或减少投标人义务；</w:t>
            </w:r>
          </w:p>
          <w:p w14:paraId="554C14A0">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c.投标人未提出不同的工程验收、计量、支付办法；</w:t>
            </w:r>
          </w:p>
          <w:p w14:paraId="62C02D77">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d.投标人对合同纠纷、事故处理办法未提出异议；</w:t>
            </w:r>
          </w:p>
          <w:p w14:paraId="019D2B4A">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e.投标人在投标活动中无欺诈行为；</w:t>
            </w:r>
          </w:p>
          <w:p w14:paraId="05926F6E">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f.投标人未对合同条款有重要保留。</w:t>
            </w:r>
          </w:p>
          <w:p w14:paraId="5DC9959E">
            <w:pPr>
              <w:keepNext w:val="0"/>
              <w:keepLines w:val="0"/>
              <w:pageBreakBefore w:val="0"/>
              <w:kinsoku/>
              <w:wordWrap/>
              <w:overflowPunct/>
              <w:topLinePunct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第二个信封（报价文件）评审标准：</w:t>
            </w:r>
          </w:p>
          <w:p w14:paraId="197DBEC0">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（1）投标文件按照招标文件规定的格式、内容填写，字迹清晰可辨：</w:t>
            </w:r>
          </w:p>
          <w:p w14:paraId="080B990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a.投标函按招标文件规定填报了项目名称、标段号、补遗书编号（如有）、投标价（包括大写金额和小写金额）；</w:t>
            </w:r>
          </w:p>
          <w:p w14:paraId="3FF9794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b.已标价工程量清单说明与招标文件规定一致，未进行实质性修改和删减；</w:t>
            </w:r>
          </w:p>
          <w:p w14:paraId="60AD8DCD">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c.投标文件组成齐全完整，内容均按规定填写。</w:t>
            </w:r>
          </w:p>
          <w:p w14:paraId="7D25CD7B">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（2）投标文件上法定代表人或其委托代理人的签字、投标人的单位章盖章齐全，符合招标文件规定。</w:t>
            </w:r>
          </w:p>
          <w:p w14:paraId="2E48E9FC">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（3）投标报价未超过招标文件设定的最高投标限价。</w:t>
            </w:r>
          </w:p>
          <w:p w14:paraId="3E453D97">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（4）投标报价中的大写金额能够确定具体数值。</w:t>
            </w:r>
          </w:p>
          <w:p w14:paraId="0158A9EB">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（5）同一投标人未提交两个以上不同的投标报价。</w:t>
            </w:r>
          </w:p>
          <w:p w14:paraId="417B4A9A">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（6）投标人未提交调价函。</w:t>
            </w:r>
          </w:p>
          <w:p w14:paraId="31E9D28F">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（7）投标人填写完毕的工程量固化清单未对工程量固化清单电子文件中的数据、格式和运算定义进行修改；工程量固化清单中的投标报价和投标函大写金额报价一致。</w:t>
            </w:r>
          </w:p>
        </w:tc>
      </w:tr>
      <w:tr w14:paraId="2E00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74" w:hRule="atLeast"/>
          <w:jc w:val="center"/>
        </w:trPr>
        <w:tc>
          <w:tcPr>
            <w:tcW w:w="722" w:type="dxa"/>
            <w:tcBorders>
              <w:bottom w:val="single" w:color="auto" w:sz="4" w:space="0"/>
            </w:tcBorders>
            <w:shd w:val="clear" w:color="auto" w:fill="auto"/>
            <w:vAlign w:val="center"/>
          </w:tcPr>
          <w:p w14:paraId="0AAC30DD">
            <w:pPr>
              <w:keepNext w:val="0"/>
              <w:keepLines w:val="0"/>
              <w:pageBreakBefore w:val="0"/>
              <w:kinsoku/>
              <w:wordWrap/>
              <w:overflowPunct/>
              <w:topLinePunct w:val="0"/>
              <w:autoSpaceDE w:val="0"/>
              <w:autoSpaceDN w:val="0"/>
              <w:bidi w:val="0"/>
              <w:adjustRightInd w:val="0"/>
              <w:snapToGrid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2.1.2</w:t>
            </w:r>
          </w:p>
        </w:tc>
        <w:tc>
          <w:tcPr>
            <w:tcW w:w="1180" w:type="dxa"/>
            <w:tcBorders>
              <w:bottom w:val="single" w:color="auto" w:sz="4" w:space="0"/>
            </w:tcBorders>
            <w:shd w:val="clear" w:color="auto" w:fill="auto"/>
            <w:vAlign w:val="center"/>
          </w:tcPr>
          <w:p w14:paraId="0ADB3361">
            <w:pPr>
              <w:keepNext w:val="0"/>
              <w:keepLines w:val="0"/>
              <w:pageBreakBefore w:val="0"/>
              <w:kinsoku/>
              <w:wordWrap/>
              <w:overflowPunct/>
              <w:topLinePunct w:val="0"/>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资格评审</w:t>
            </w:r>
          </w:p>
          <w:p w14:paraId="164EC058">
            <w:pPr>
              <w:keepNext w:val="0"/>
              <w:keepLines w:val="0"/>
              <w:pageBreakBefore w:val="0"/>
              <w:kinsoku/>
              <w:wordWrap/>
              <w:overflowPunct/>
              <w:topLinePunct w:val="0"/>
              <w:bidi w:val="0"/>
              <w:adjustRightInd w:val="0"/>
              <w:snapToGrid w:val="0"/>
              <w:spacing w:line="240" w:lineRule="exact"/>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标准</w:t>
            </w:r>
          </w:p>
        </w:tc>
        <w:tc>
          <w:tcPr>
            <w:tcW w:w="7726" w:type="dxa"/>
            <w:tcBorders>
              <w:bottom w:val="single" w:color="auto" w:sz="4" w:space="0"/>
            </w:tcBorders>
            <w:shd w:val="clear" w:color="auto" w:fill="auto"/>
          </w:tcPr>
          <w:p w14:paraId="3FB47825">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（1）投标人具备有效的营业执照、资质证书、安全生产许可证、基本账户开户许可证（或基本账户开户银行出具的开户证明）。</w:t>
            </w:r>
          </w:p>
          <w:p w14:paraId="119E6CDB">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（2）投标人的资质等级符合招标文件规定。</w:t>
            </w:r>
          </w:p>
          <w:p w14:paraId="54CE91D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lang w:eastAsia="zh-CN"/>
              </w:rPr>
              <w:t>）投标人的财务状况符合招标文件规定。</w:t>
            </w:r>
          </w:p>
          <w:p w14:paraId="21D67AF0">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）投标人的类似项目业绩符合招标文件规定。</w:t>
            </w:r>
          </w:p>
          <w:p w14:paraId="0B73219B">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）投标人的信誉符合招标文件规定。</w:t>
            </w:r>
          </w:p>
          <w:p w14:paraId="650FABEF">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6</w:t>
            </w:r>
            <w:r>
              <w:rPr>
                <w:rFonts w:hint="eastAsia" w:ascii="宋体" w:hAnsi="宋体" w:eastAsia="宋体" w:cs="宋体"/>
                <w:sz w:val="18"/>
                <w:szCs w:val="18"/>
                <w:highlight w:val="none"/>
              </w:rPr>
              <w:t>）投标人的项目经理和项目总工资格、在岗情况符合招标文件规定。</w:t>
            </w:r>
          </w:p>
          <w:p w14:paraId="00146788">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7</w:t>
            </w:r>
            <w:r>
              <w:rPr>
                <w:rFonts w:hint="eastAsia" w:ascii="宋体" w:hAnsi="宋体" w:eastAsia="宋体" w:cs="宋体"/>
                <w:sz w:val="18"/>
                <w:szCs w:val="18"/>
                <w:highlight w:val="none"/>
              </w:rPr>
              <w:t>）投标人的其他要求符合招标文件规定。</w:t>
            </w:r>
          </w:p>
          <w:p w14:paraId="55EC9121">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8</w:t>
            </w:r>
            <w:r>
              <w:rPr>
                <w:rFonts w:hint="eastAsia" w:ascii="宋体" w:hAnsi="宋体" w:eastAsia="宋体" w:cs="宋体"/>
                <w:sz w:val="18"/>
                <w:szCs w:val="18"/>
                <w:highlight w:val="none"/>
              </w:rPr>
              <w:t>）投标人不存在第二章“投标人须知”第1.4.3项或第1.4.4项规定的任何一种情形。</w:t>
            </w:r>
          </w:p>
          <w:p w14:paraId="75115E06">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9</w:t>
            </w:r>
            <w:r>
              <w:rPr>
                <w:rFonts w:hint="eastAsia" w:ascii="宋体" w:hAnsi="宋体" w:eastAsia="宋体" w:cs="宋体"/>
                <w:sz w:val="18"/>
                <w:szCs w:val="18"/>
                <w:highlight w:val="none"/>
              </w:rPr>
              <w:t>）投标人符合第二章“投标人须知”第1.4.5项规定。</w:t>
            </w:r>
          </w:p>
          <w:p w14:paraId="668ACFBF">
            <w:pPr>
              <w:keepNext w:val="0"/>
              <w:keepLines w:val="0"/>
              <w:pageBreakBefore w:val="0"/>
              <w:kinsoku/>
              <w:wordWrap/>
              <w:overflowPunct/>
              <w:topLinePunct w:val="0"/>
              <w:bidi w:val="0"/>
              <w:spacing w:line="240" w:lineRule="exact"/>
              <w:ind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10</w:t>
            </w:r>
            <w:r>
              <w:rPr>
                <w:rFonts w:hint="eastAsia" w:ascii="宋体" w:hAnsi="宋体" w:eastAsia="宋体" w:cs="宋体"/>
                <w:sz w:val="18"/>
                <w:szCs w:val="18"/>
                <w:highlight w:val="none"/>
              </w:rPr>
              <w:t>）以联合体形式参与投标的，联合体各方均未再以自己名义单独或参加其他联合体在同一标段中投标；独立参与投标的，投标人未同时参加联合体在同一标段中投标。</w:t>
            </w:r>
          </w:p>
        </w:tc>
      </w:tr>
    </w:tbl>
    <w:p w14:paraId="65CC6698">
      <w:pPr>
        <w:jc w:val="right"/>
        <w:rPr>
          <w:rFonts w:hint="eastAsia" w:ascii="宋体" w:hAnsi="宋体" w:eastAsia="宋体" w:cs="宋体"/>
          <w:sz w:val="18"/>
          <w:szCs w:val="18"/>
          <w:highlight w:val="none"/>
        </w:rPr>
        <w:sectPr>
          <w:headerReference r:id="rId4" w:type="default"/>
          <w:footerReference r:id="rId5" w:type="default"/>
          <w:footnotePr>
            <w:numFmt w:val="decimalEnclosedCircleChinese"/>
            <w:numRestart w:val="eachPage"/>
          </w:footnotePr>
          <w:pgSz w:w="11907" w:h="16840"/>
          <w:pgMar w:top="1134" w:right="1134" w:bottom="1134" w:left="1134" w:header="0" w:footer="567" w:gutter="0"/>
          <w:cols w:space="720" w:num="1"/>
        </w:sectPr>
      </w:pPr>
    </w:p>
    <w:p w14:paraId="6D88C8FB">
      <w:pPr>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续上表</w:t>
      </w:r>
    </w:p>
    <w:tbl>
      <w:tblPr>
        <w:tblStyle w:val="8"/>
        <w:tblW w:w="90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389"/>
        <w:gridCol w:w="6790"/>
      </w:tblGrid>
      <w:tr w14:paraId="521D5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4"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3933760">
            <w:pPr>
              <w:keepNext w:val="0"/>
              <w:keepLines w:val="0"/>
              <w:pageBreakBefore w:val="0"/>
              <w:widowControl w:val="0"/>
              <w:kinsoku/>
              <w:wordWrap/>
              <w:overflowPunct/>
              <w:topLinePunct w:val="0"/>
              <w:autoSpaceDE w:val="0"/>
              <w:autoSpaceDN w:val="0"/>
              <w:bidi w:val="0"/>
              <w:adjustRightInd w:val="0"/>
              <w:snapToGrid w:val="0"/>
              <w:spacing w:line="240" w:lineRule="exact"/>
              <w:ind w:left="0" w:leftChars="0" w:right="0" w:firstLine="180" w:firstLineChars="10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条款号</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C030D2">
            <w:pPr>
              <w:keepNext w:val="0"/>
              <w:keepLines w:val="0"/>
              <w:pageBreakBefore w:val="0"/>
              <w:widowControl w:val="0"/>
              <w:kinsoku/>
              <w:wordWrap/>
              <w:overflowPunct/>
              <w:topLinePunct w:val="0"/>
              <w:bidi w:val="0"/>
              <w:adjustRightInd w:val="0"/>
              <w:snapToGrid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条款内容</w:t>
            </w:r>
          </w:p>
        </w:tc>
        <w:tc>
          <w:tcPr>
            <w:tcW w:w="6790" w:type="dxa"/>
            <w:tcBorders>
              <w:top w:val="single" w:color="000000" w:sz="4" w:space="0"/>
              <w:left w:val="single" w:color="000000" w:sz="4" w:space="0"/>
              <w:bottom w:val="single" w:color="auto" w:sz="4" w:space="0"/>
              <w:right w:val="single" w:color="000000" w:sz="4" w:space="0"/>
            </w:tcBorders>
            <w:shd w:val="clear" w:color="auto" w:fill="auto"/>
            <w:vAlign w:val="center"/>
          </w:tcPr>
          <w:p w14:paraId="351DC50D">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编列内容</w:t>
            </w:r>
          </w:p>
        </w:tc>
      </w:tr>
      <w:tr w14:paraId="39736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4ADD7785">
            <w:pPr>
              <w:keepNext w:val="0"/>
              <w:keepLines w:val="0"/>
              <w:pageBreakBefore w:val="0"/>
              <w:widowControl w:val="0"/>
              <w:kinsoku/>
              <w:wordWrap/>
              <w:overflowPunct/>
              <w:topLinePunct w:val="0"/>
              <w:autoSpaceDE w:val="0"/>
              <w:autoSpaceDN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2.2.1</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2D3F0627">
            <w:pPr>
              <w:keepNext w:val="0"/>
              <w:keepLines w:val="0"/>
              <w:pageBreakBefore w:val="0"/>
              <w:widowControl w:val="0"/>
              <w:kinsoku/>
              <w:wordWrap/>
              <w:overflowPunct/>
              <w:topLinePunct w:val="0"/>
              <w:bidi w:val="0"/>
              <w:adjustRightInd w:val="0"/>
              <w:snapToGrid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分值构成</w:t>
            </w:r>
          </w:p>
          <w:p w14:paraId="65DBE207">
            <w:pPr>
              <w:keepNext w:val="0"/>
              <w:keepLines w:val="0"/>
              <w:pageBreakBefore w:val="0"/>
              <w:widowControl w:val="0"/>
              <w:kinsoku/>
              <w:wordWrap/>
              <w:overflowPunct/>
              <w:topLinePunct w:val="0"/>
              <w:bidi w:val="0"/>
              <w:adjustRightInd w:val="0"/>
              <w:snapToGrid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（总分100分）</w:t>
            </w:r>
          </w:p>
        </w:tc>
        <w:tc>
          <w:tcPr>
            <w:tcW w:w="6790" w:type="dxa"/>
            <w:tcBorders>
              <w:top w:val="single" w:color="000000" w:sz="4" w:space="0"/>
              <w:left w:val="single" w:color="000000" w:sz="4" w:space="0"/>
              <w:bottom w:val="single" w:color="auto" w:sz="4" w:space="0"/>
              <w:right w:val="single" w:color="000000" w:sz="4" w:space="0"/>
            </w:tcBorders>
            <w:shd w:val="clear" w:color="auto" w:fill="auto"/>
          </w:tcPr>
          <w:p w14:paraId="3F7B1AE8">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第一个信封（商务及技术文件）评分分值构成：</w:t>
            </w:r>
          </w:p>
          <w:p w14:paraId="70C4137D">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施工组织设计：20分</w:t>
            </w:r>
          </w:p>
          <w:p w14:paraId="2D2CA11E">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主要人员：10分</w:t>
            </w:r>
          </w:p>
          <w:p w14:paraId="242DB55F">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企业业绩：15分</w:t>
            </w:r>
          </w:p>
          <w:p w14:paraId="0893BD34">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履约信誉：5分</w:t>
            </w:r>
          </w:p>
          <w:p w14:paraId="26CE3681">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第二个信封（报价文件）评分分值构成：</w:t>
            </w:r>
          </w:p>
          <w:p w14:paraId="500DB8B2">
            <w:pPr>
              <w:keepNext w:val="0"/>
              <w:keepLines w:val="0"/>
              <w:pageBreakBefore w:val="0"/>
              <w:widowControl w:val="0"/>
              <w:kinsoku/>
              <w:wordWrap/>
              <w:overflowPunct/>
              <w:topLinePunct w:val="0"/>
              <w:bidi w:val="0"/>
              <w:adjustRightInd w:val="0"/>
              <w:snapToGrid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评标价：50分</w:t>
            </w:r>
          </w:p>
        </w:tc>
      </w:tr>
      <w:tr w14:paraId="1B351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1BA6B966">
            <w:pPr>
              <w:keepNext w:val="0"/>
              <w:keepLines w:val="0"/>
              <w:pageBreakBefore w:val="0"/>
              <w:widowControl w:val="0"/>
              <w:kinsoku/>
              <w:wordWrap/>
              <w:overflowPunct/>
              <w:topLinePunct w:val="0"/>
              <w:bidi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2.2.2</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662334FA">
            <w:pPr>
              <w:keepNext w:val="0"/>
              <w:keepLines w:val="0"/>
              <w:pageBreakBefore w:val="0"/>
              <w:widowControl w:val="0"/>
              <w:kinsoku/>
              <w:wordWrap/>
              <w:overflowPunct/>
              <w:topLinePunct w:val="0"/>
              <w:bidi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评标基准价计算方法</w:t>
            </w:r>
          </w:p>
        </w:tc>
        <w:tc>
          <w:tcPr>
            <w:tcW w:w="6790" w:type="dxa"/>
            <w:tcBorders>
              <w:top w:val="single" w:color="000000" w:sz="4" w:space="0"/>
              <w:left w:val="single" w:color="000000" w:sz="4" w:space="0"/>
              <w:bottom w:val="single" w:color="auto" w:sz="4" w:space="0"/>
              <w:right w:val="single" w:color="000000" w:sz="4" w:space="0"/>
            </w:tcBorders>
            <w:shd w:val="clear" w:color="auto" w:fill="auto"/>
            <w:vAlign w:val="center"/>
          </w:tcPr>
          <w:p w14:paraId="6FB43A20">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评标基准价的计算：</w:t>
            </w:r>
          </w:p>
          <w:p w14:paraId="7026DF9F">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在开标现场，招标人将当场计算并宣布评标基准价。</w:t>
            </w:r>
          </w:p>
          <w:p w14:paraId="1E5DDCA9">
            <w:pPr>
              <w:keepNext w:val="0"/>
              <w:keepLines w:val="0"/>
              <w:pageBreakBefore w:val="0"/>
              <w:widowControl w:val="0"/>
              <w:kinsoku/>
              <w:wordWrap/>
              <w:overflowPunct/>
              <w:topLinePunct w:val="0"/>
              <w:bidi w:val="0"/>
              <w:spacing w:line="240" w:lineRule="exact"/>
              <w:ind w:left="0" w:leftChars="0" w:right="0" w:firstLine="90" w:firstLineChars="5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（1）评标价的确定：</w:t>
            </w:r>
          </w:p>
          <w:p w14:paraId="11E709A7">
            <w:pPr>
              <w:keepNext w:val="0"/>
              <w:keepLines w:val="0"/>
              <w:pageBreakBefore w:val="0"/>
              <w:widowControl w:val="0"/>
              <w:kinsoku/>
              <w:wordWrap/>
              <w:overflowPunct/>
              <w:topLinePunct w:val="0"/>
              <w:bidi w:val="0"/>
              <w:spacing w:line="240" w:lineRule="exact"/>
              <w:ind w:left="0" w:leftChars="0" w:right="0" w:firstLine="270" w:firstLineChars="15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评标价=投标函文字报价</w:t>
            </w:r>
          </w:p>
          <w:p w14:paraId="6769FF5E">
            <w:pPr>
              <w:keepNext w:val="0"/>
              <w:keepLines w:val="0"/>
              <w:pageBreakBefore w:val="0"/>
              <w:widowControl w:val="0"/>
              <w:kinsoku/>
              <w:wordWrap/>
              <w:overflowPunct/>
              <w:topLinePunct w:val="0"/>
              <w:bidi w:val="0"/>
              <w:spacing w:line="240" w:lineRule="exact"/>
              <w:ind w:left="0" w:leftChars="0" w:right="0" w:firstLine="90" w:firstLineChars="5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（2）评标价平均值的计算：</w:t>
            </w:r>
          </w:p>
          <w:p w14:paraId="4D734BCF">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rPr>
              <w:t>除按第二章“投标人须知”第5.2.4项规定开标现场被宣布为不进入评标基准价计算的投标报价之外，所有投标人的有效报价去掉一个最高值和一个最低值后的算术平均值作为评标基准价（如果参与评标基准价计算的有效投标人少于5家时，则计算评标基准价时不去掉最高值和最低值）。</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投标报价在最高投标限价85%以下的不进入评标基准价计算</w:t>
            </w:r>
            <w:r>
              <w:rPr>
                <w:rFonts w:hint="eastAsia" w:ascii="宋体" w:hAnsi="宋体" w:eastAsia="宋体" w:cs="宋体"/>
                <w:sz w:val="18"/>
                <w:szCs w:val="18"/>
                <w:highlight w:val="none"/>
                <w:lang w:eastAsia="zh-CN"/>
              </w:rPr>
              <w:t>）</w:t>
            </w:r>
          </w:p>
          <w:p w14:paraId="68769FB9">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bCs/>
                <w:sz w:val="18"/>
                <w:szCs w:val="18"/>
                <w:highlight w:val="none"/>
              </w:rPr>
              <w:t>，评标价平均值的计算保留整数，小数点后第1位“四舍五入”</w:t>
            </w:r>
            <w:r>
              <w:rPr>
                <w:rFonts w:hint="eastAsia" w:ascii="宋体" w:hAnsi="宋体" w:eastAsia="宋体" w:cs="宋体"/>
                <w:sz w:val="18"/>
                <w:szCs w:val="18"/>
                <w:highlight w:val="none"/>
              </w:rPr>
              <w:t>。</w:t>
            </w:r>
          </w:p>
          <w:p w14:paraId="29DA6F99">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（3）评标基准价的确定：</w:t>
            </w:r>
          </w:p>
          <w:p w14:paraId="3BF80FEF">
            <w:pPr>
              <w:keepNext w:val="0"/>
              <w:keepLines w:val="0"/>
              <w:pageBreakBefore w:val="0"/>
              <w:widowControl w:val="0"/>
              <w:kinsoku/>
              <w:wordWrap/>
              <w:overflowPunct/>
              <w:topLinePunct w:val="0"/>
              <w:bidi w:val="0"/>
              <w:spacing w:line="240" w:lineRule="exact"/>
              <w:ind w:left="0" w:leftChars="0" w:right="0" w:firstLine="270" w:firstLineChars="15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将评标价平均值直接作为评标基准价。</w:t>
            </w:r>
          </w:p>
          <w:p w14:paraId="36880503">
            <w:pPr>
              <w:keepNext w:val="0"/>
              <w:keepLines w:val="0"/>
              <w:pageBreakBefore w:val="0"/>
              <w:widowControl w:val="0"/>
              <w:kinsoku/>
              <w:wordWrap/>
              <w:overflowPunct/>
              <w:topLinePunct w:val="0"/>
              <w:bidi w:val="0"/>
              <w:spacing w:line="240" w:lineRule="exact"/>
              <w:ind w:left="0" w:leftChars="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AE4D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92"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5FF24352">
            <w:pPr>
              <w:keepNext w:val="0"/>
              <w:keepLines w:val="0"/>
              <w:pageBreakBefore w:val="0"/>
              <w:widowControl w:val="0"/>
              <w:kinsoku/>
              <w:wordWrap/>
              <w:overflowPunct/>
              <w:topLinePunct w:val="0"/>
              <w:bidi w:val="0"/>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2.2.3</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6C0D8D35">
            <w:pPr>
              <w:keepNext w:val="0"/>
              <w:keepLines w:val="0"/>
              <w:pageBreakBefore w:val="0"/>
              <w:widowControl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评标价的偏差率计算公式</w:t>
            </w:r>
          </w:p>
        </w:tc>
        <w:tc>
          <w:tcPr>
            <w:tcW w:w="67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EEF2416">
            <w:pPr>
              <w:keepNext w:val="0"/>
              <w:keepLines w:val="0"/>
              <w:pageBreakBefore w:val="0"/>
              <w:widowControl w:val="0"/>
              <w:kinsoku/>
              <w:wordWrap/>
              <w:overflowPunct/>
              <w:topLinePunct w:val="0"/>
              <w:bidi w:val="0"/>
              <w:spacing w:line="240" w:lineRule="exact"/>
              <w:ind w:left="0" w:leftChars="0" w:right="0" w:firstLine="360" w:firstLineChars="20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偏差率=100%×（投标人评标价-评标基准价）/评标基准价</w:t>
            </w:r>
          </w:p>
          <w:p w14:paraId="17484752">
            <w:pPr>
              <w:keepNext w:val="0"/>
              <w:keepLines w:val="0"/>
              <w:pageBreakBefore w:val="0"/>
              <w:widowControl w:val="0"/>
              <w:kinsoku/>
              <w:wordWrap/>
              <w:overflowPunct/>
              <w:topLinePunct w:val="0"/>
              <w:bidi w:val="0"/>
              <w:spacing w:line="240" w:lineRule="exact"/>
              <w:ind w:left="0" w:leftChars="0" w:right="0" w:firstLine="360" w:firstLineChars="200"/>
              <w:jc w:val="left"/>
              <w:textAlignment w:val="auto"/>
              <w:rPr>
                <w:rFonts w:hint="eastAsia" w:ascii="宋体" w:hAnsi="宋体" w:eastAsia="宋体" w:cs="宋体"/>
                <w:b/>
                <w:sz w:val="18"/>
                <w:szCs w:val="18"/>
                <w:highlight w:val="none"/>
              </w:rPr>
            </w:pPr>
            <w:r>
              <w:rPr>
                <w:rFonts w:hint="eastAsia" w:ascii="宋体" w:hAnsi="宋体" w:eastAsia="宋体" w:cs="宋体"/>
                <w:sz w:val="18"/>
                <w:szCs w:val="18"/>
                <w:highlight w:val="none"/>
              </w:rPr>
              <w:t>偏差率保留2位小数，</w:t>
            </w:r>
            <w:r>
              <w:rPr>
                <w:rFonts w:hint="eastAsia" w:ascii="宋体" w:hAnsi="宋体" w:eastAsia="宋体" w:cs="宋体"/>
                <w:bCs/>
                <w:sz w:val="18"/>
                <w:szCs w:val="18"/>
                <w:highlight w:val="none"/>
              </w:rPr>
              <w:t>小数点后第3位“四舍五入”，</w:t>
            </w:r>
            <w:r>
              <w:rPr>
                <w:rFonts w:hint="eastAsia" w:ascii="宋体" w:hAnsi="宋体" w:eastAsia="宋体" w:cs="宋体"/>
                <w:sz w:val="18"/>
                <w:szCs w:val="18"/>
                <w:highlight w:val="none"/>
              </w:rPr>
              <w:t>例如：**.**%</w:t>
            </w:r>
          </w:p>
        </w:tc>
      </w:tr>
    </w:tbl>
    <w:p w14:paraId="48A9AA6E">
      <w:pPr>
        <w:rPr>
          <w:rFonts w:hint="eastAsia" w:ascii="宋体" w:hAnsi="宋体" w:eastAsia="宋体" w:cs="宋体"/>
          <w:sz w:val="18"/>
          <w:szCs w:val="18"/>
          <w:highlight w:val="none"/>
        </w:rPr>
      </w:pPr>
      <w:r>
        <w:rPr>
          <w:rFonts w:hint="eastAsia" w:ascii="宋体" w:hAnsi="宋体" w:eastAsia="宋体" w:cs="宋体"/>
          <w:sz w:val="18"/>
          <w:szCs w:val="18"/>
          <w:highlight w:val="none"/>
        </w:rPr>
        <w:br w:type="page"/>
      </w:r>
    </w:p>
    <w:p w14:paraId="2FFC2942">
      <w:pPr>
        <w:spacing w:line="360" w:lineRule="auto"/>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续上表</w:t>
      </w:r>
    </w:p>
    <w:tbl>
      <w:tblPr>
        <w:tblStyle w:val="8"/>
        <w:tblW w:w="95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7"/>
        <w:gridCol w:w="784"/>
        <w:gridCol w:w="975"/>
        <w:gridCol w:w="2295"/>
        <w:gridCol w:w="555"/>
        <w:gridCol w:w="3990"/>
      </w:tblGrid>
      <w:tr w14:paraId="5B40FC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9" w:hRule="atLeast"/>
          <w:jc w:val="center"/>
        </w:trPr>
        <w:tc>
          <w:tcPr>
            <w:tcW w:w="977" w:type="dxa"/>
            <w:vMerge w:val="restart"/>
            <w:vAlign w:val="center"/>
          </w:tcPr>
          <w:p w14:paraId="77C7A702">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条款号</w:t>
            </w:r>
          </w:p>
        </w:tc>
        <w:tc>
          <w:tcPr>
            <w:tcW w:w="4609" w:type="dxa"/>
            <w:gridSpan w:val="4"/>
            <w:vAlign w:val="center"/>
          </w:tcPr>
          <w:p w14:paraId="415EF65B">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评分因素与权重分值</w:t>
            </w:r>
          </w:p>
        </w:tc>
        <w:tc>
          <w:tcPr>
            <w:tcW w:w="3990" w:type="dxa"/>
            <w:vMerge w:val="restart"/>
            <w:vAlign w:val="center"/>
          </w:tcPr>
          <w:p w14:paraId="731DD9F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评分标准</w:t>
            </w:r>
          </w:p>
        </w:tc>
      </w:tr>
      <w:tr w14:paraId="5E38B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7" w:type="dxa"/>
            <w:vMerge w:val="continue"/>
            <w:vAlign w:val="center"/>
          </w:tcPr>
          <w:p w14:paraId="672E42EB">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p>
        </w:tc>
        <w:tc>
          <w:tcPr>
            <w:tcW w:w="784" w:type="dxa"/>
            <w:vAlign w:val="center"/>
          </w:tcPr>
          <w:p w14:paraId="74CA2F6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w:t>
            </w:r>
          </w:p>
          <w:p w14:paraId="0B8949D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因素</w:t>
            </w:r>
          </w:p>
        </w:tc>
        <w:tc>
          <w:tcPr>
            <w:tcW w:w="975" w:type="dxa"/>
            <w:vAlign w:val="center"/>
          </w:tcPr>
          <w:p w14:paraId="2CE2018A">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评分因素</w:t>
            </w:r>
          </w:p>
          <w:p w14:paraId="7561D575">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权重分值</w:t>
            </w:r>
          </w:p>
        </w:tc>
        <w:tc>
          <w:tcPr>
            <w:tcW w:w="2295" w:type="dxa"/>
            <w:vAlign w:val="center"/>
          </w:tcPr>
          <w:p w14:paraId="4546F0E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各评分因素细分项</w:t>
            </w:r>
          </w:p>
        </w:tc>
        <w:tc>
          <w:tcPr>
            <w:tcW w:w="555" w:type="dxa"/>
            <w:vAlign w:val="center"/>
          </w:tcPr>
          <w:p w14:paraId="4D948A1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分值</w:t>
            </w:r>
          </w:p>
        </w:tc>
        <w:tc>
          <w:tcPr>
            <w:tcW w:w="3990" w:type="dxa"/>
            <w:vMerge w:val="continue"/>
            <w:vAlign w:val="center"/>
          </w:tcPr>
          <w:p w14:paraId="5682425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r>
      <w:tr w14:paraId="6F9E7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exact"/>
          <w:jc w:val="center"/>
        </w:trPr>
        <w:tc>
          <w:tcPr>
            <w:tcW w:w="977" w:type="dxa"/>
            <w:vMerge w:val="restart"/>
            <w:vAlign w:val="center"/>
          </w:tcPr>
          <w:p w14:paraId="3FFE021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2.2.4（1）</w:t>
            </w:r>
          </w:p>
        </w:tc>
        <w:tc>
          <w:tcPr>
            <w:tcW w:w="784" w:type="dxa"/>
            <w:vMerge w:val="restart"/>
            <w:vAlign w:val="center"/>
          </w:tcPr>
          <w:p w14:paraId="0EA32BF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施工组织设计</w:t>
            </w:r>
          </w:p>
        </w:tc>
        <w:tc>
          <w:tcPr>
            <w:tcW w:w="975" w:type="dxa"/>
            <w:vMerge w:val="restart"/>
            <w:vAlign w:val="center"/>
          </w:tcPr>
          <w:p w14:paraId="24DA3CA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u w:val="single"/>
              </w:rPr>
            </w:pPr>
            <w:r>
              <w:rPr>
                <w:rFonts w:hint="eastAsia" w:ascii="宋体" w:hAnsi="宋体" w:eastAsia="宋体" w:cs="宋体"/>
                <w:sz w:val="18"/>
                <w:szCs w:val="18"/>
                <w:highlight w:val="none"/>
              </w:rPr>
              <w:t>20分</w:t>
            </w:r>
          </w:p>
        </w:tc>
        <w:tc>
          <w:tcPr>
            <w:tcW w:w="2295" w:type="dxa"/>
            <w:vAlign w:val="center"/>
          </w:tcPr>
          <w:p w14:paraId="6355CD0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总体施工组织布置及规划</w:t>
            </w:r>
          </w:p>
        </w:tc>
        <w:tc>
          <w:tcPr>
            <w:tcW w:w="555" w:type="dxa"/>
            <w:vAlign w:val="center"/>
          </w:tcPr>
          <w:p w14:paraId="6DA750C5">
            <w:pPr>
              <w:keepNext w:val="0"/>
              <w:keepLines w:val="0"/>
              <w:pageBreakBefore w:val="0"/>
              <w:widowControl/>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5分</w:t>
            </w:r>
          </w:p>
        </w:tc>
        <w:tc>
          <w:tcPr>
            <w:tcW w:w="3990" w:type="dxa"/>
            <w:vAlign w:val="center"/>
          </w:tcPr>
          <w:p w14:paraId="46D27D7E">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满足基本要求：3分；</w:t>
            </w:r>
          </w:p>
          <w:p w14:paraId="14252238">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优良：3～5分。</w:t>
            </w:r>
          </w:p>
        </w:tc>
      </w:tr>
      <w:tr w14:paraId="45158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6" w:hRule="exact"/>
          <w:jc w:val="center"/>
        </w:trPr>
        <w:tc>
          <w:tcPr>
            <w:tcW w:w="977" w:type="dxa"/>
            <w:vMerge w:val="continue"/>
            <w:vAlign w:val="center"/>
          </w:tcPr>
          <w:p w14:paraId="2C5BF8A5">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5F5E9440">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4A6A51F0">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137876D7">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主要工程项目的施工方案、方法与技术措施</w:t>
            </w:r>
          </w:p>
        </w:tc>
        <w:tc>
          <w:tcPr>
            <w:tcW w:w="555" w:type="dxa"/>
            <w:vAlign w:val="center"/>
          </w:tcPr>
          <w:p w14:paraId="0F73DB4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4分</w:t>
            </w:r>
          </w:p>
        </w:tc>
        <w:tc>
          <w:tcPr>
            <w:tcW w:w="3990" w:type="dxa"/>
            <w:vAlign w:val="center"/>
          </w:tcPr>
          <w:p w14:paraId="6AAF8C47">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满足基本要求：2.4分；</w:t>
            </w:r>
          </w:p>
          <w:p w14:paraId="6BA5720E">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优良：2.4～4分。</w:t>
            </w:r>
          </w:p>
        </w:tc>
      </w:tr>
      <w:tr w14:paraId="45AA00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1" w:hRule="exact"/>
          <w:jc w:val="center"/>
        </w:trPr>
        <w:tc>
          <w:tcPr>
            <w:tcW w:w="977" w:type="dxa"/>
            <w:vMerge w:val="continue"/>
            <w:vAlign w:val="center"/>
          </w:tcPr>
          <w:p w14:paraId="655D5F6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4A22ADDE">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2F74EC40">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33981B7B">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工期保证体系及</w:t>
            </w:r>
          </w:p>
          <w:p w14:paraId="6D631B6B">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保证措施</w:t>
            </w:r>
          </w:p>
        </w:tc>
        <w:tc>
          <w:tcPr>
            <w:tcW w:w="555" w:type="dxa"/>
            <w:vAlign w:val="center"/>
          </w:tcPr>
          <w:p w14:paraId="0E1FBAA1">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3分</w:t>
            </w:r>
          </w:p>
        </w:tc>
        <w:tc>
          <w:tcPr>
            <w:tcW w:w="3990" w:type="dxa"/>
            <w:vAlign w:val="center"/>
          </w:tcPr>
          <w:p w14:paraId="7247758C">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满足基本要求：1.8分；</w:t>
            </w:r>
          </w:p>
          <w:p w14:paraId="3A756B81">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优良：1.8～3分。</w:t>
            </w:r>
          </w:p>
        </w:tc>
      </w:tr>
      <w:tr w14:paraId="2B1BF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exact"/>
          <w:jc w:val="center"/>
        </w:trPr>
        <w:tc>
          <w:tcPr>
            <w:tcW w:w="977" w:type="dxa"/>
            <w:vMerge w:val="continue"/>
            <w:vAlign w:val="center"/>
          </w:tcPr>
          <w:p w14:paraId="25D71B5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4840BEE2">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76E7BB9D">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33157C3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工程质量管理体系及保证措施</w:t>
            </w:r>
          </w:p>
        </w:tc>
        <w:tc>
          <w:tcPr>
            <w:tcW w:w="555" w:type="dxa"/>
            <w:vAlign w:val="center"/>
          </w:tcPr>
          <w:p w14:paraId="5A4BC98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3分</w:t>
            </w:r>
          </w:p>
        </w:tc>
        <w:tc>
          <w:tcPr>
            <w:tcW w:w="3990" w:type="dxa"/>
            <w:vAlign w:val="center"/>
          </w:tcPr>
          <w:p w14:paraId="288062E5">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满足基本要求：1.8分；</w:t>
            </w:r>
          </w:p>
          <w:p w14:paraId="605EACE7">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优良：1.8～3分。</w:t>
            </w:r>
          </w:p>
        </w:tc>
      </w:tr>
      <w:tr w14:paraId="03A73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6" w:hRule="exact"/>
          <w:jc w:val="center"/>
        </w:trPr>
        <w:tc>
          <w:tcPr>
            <w:tcW w:w="977" w:type="dxa"/>
            <w:vMerge w:val="continue"/>
            <w:vAlign w:val="center"/>
          </w:tcPr>
          <w:p w14:paraId="6C1AF75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61907377">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7DAA7D8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109FD54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安全生产管理体系及保证措施</w:t>
            </w:r>
          </w:p>
        </w:tc>
        <w:tc>
          <w:tcPr>
            <w:tcW w:w="555" w:type="dxa"/>
            <w:vAlign w:val="center"/>
          </w:tcPr>
          <w:p w14:paraId="5EC5E839">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2分</w:t>
            </w:r>
          </w:p>
        </w:tc>
        <w:tc>
          <w:tcPr>
            <w:tcW w:w="3990" w:type="dxa"/>
            <w:vAlign w:val="center"/>
          </w:tcPr>
          <w:p w14:paraId="696AADF8">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满足基本要求：1.2分；</w:t>
            </w:r>
          </w:p>
          <w:p w14:paraId="3CA0E613">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优良：1.2～2分。</w:t>
            </w:r>
          </w:p>
        </w:tc>
      </w:tr>
      <w:tr w14:paraId="3962F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exact"/>
          <w:jc w:val="center"/>
        </w:trPr>
        <w:tc>
          <w:tcPr>
            <w:tcW w:w="977" w:type="dxa"/>
            <w:vMerge w:val="continue"/>
            <w:vAlign w:val="center"/>
          </w:tcPr>
          <w:p w14:paraId="421DEE30">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11477D02">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7E9379D5">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7AB5E4D9">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环境保护、水土保持保证体系及保证措施</w:t>
            </w:r>
          </w:p>
        </w:tc>
        <w:tc>
          <w:tcPr>
            <w:tcW w:w="555" w:type="dxa"/>
            <w:vAlign w:val="center"/>
          </w:tcPr>
          <w:p w14:paraId="2F195E6E">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1分</w:t>
            </w:r>
          </w:p>
        </w:tc>
        <w:tc>
          <w:tcPr>
            <w:tcW w:w="3990" w:type="dxa"/>
            <w:vAlign w:val="center"/>
          </w:tcPr>
          <w:p w14:paraId="7B4876B4">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满足基本要求：0.6分；</w:t>
            </w:r>
          </w:p>
          <w:p w14:paraId="25FEC1F1">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优良：0.6～1分。</w:t>
            </w:r>
          </w:p>
        </w:tc>
      </w:tr>
      <w:tr w14:paraId="0EAFD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6" w:hRule="exact"/>
          <w:jc w:val="center"/>
        </w:trPr>
        <w:tc>
          <w:tcPr>
            <w:tcW w:w="977" w:type="dxa"/>
            <w:vMerge w:val="continue"/>
            <w:vAlign w:val="center"/>
          </w:tcPr>
          <w:p w14:paraId="2507408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22447AC1">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3825F88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23BD5381">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文明施工、文物保护保证体系及保证措施</w:t>
            </w:r>
          </w:p>
        </w:tc>
        <w:tc>
          <w:tcPr>
            <w:tcW w:w="555" w:type="dxa"/>
            <w:vAlign w:val="center"/>
          </w:tcPr>
          <w:p w14:paraId="31392F4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1分</w:t>
            </w:r>
          </w:p>
        </w:tc>
        <w:tc>
          <w:tcPr>
            <w:tcW w:w="3990" w:type="dxa"/>
            <w:vAlign w:val="center"/>
          </w:tcPr>
          <w:p w14:paraId="79D70E67">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满足基本要求：0.6分；</w:t>
            </w:r>
          </w:p>
          <w:p w14:paraId="4A50894B">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优良：0.6～1分。</w:t>
            </w:r>
          </w:p>
        </w:tc>
      </w:tr>
      <w:tr w14:paraId="7FED1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6" w:hRule="exact"/>
          <w:jc w:val="center"/>
        </w:trPr>
        <w:tc>
          <w:tcPr>
            <w:tcW w:w="977" w:type="dxa"/>
            <w:vMerge w:val="continue"/>
            <w:vAlign w:val="center"/>
          </w:tcPr>
          <w:p w14:paraId="09CF1E5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69CC69A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61FD979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Align w:val="center"/>
          </w:tcPr>
          <w:p w14:paraId="58AD3B9E">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项目风险预测与防范，事故应急预案</w:t>
            </w:r>
          </w:p>
        </w:tc>
        <w:tc>
          <w:tcPr>
            <w:tcW w:w="555" w:type="dxa"/>
            <w:vAlign w:val="center"/>
          </w:tcPr>
          <w:p w14:paraId="08D50C5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1分</w:t>
            </w:r>
          </w:p>
        </w:tc>
        <w:tc>
          <w:tcPr>
            <w:tcW w:w="3990" w:type="dxa"/>
            <w:vAlign w:val="center"/>
          </w:tcPr>
          <w:p w14:paraId="70474DAE">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满足基本要求：0.6分；</w:t>
            </w:r>
          </w:p>
          <w:p w14:paraId="7A7BF183">
            <w:pPr>
              <w:keepNext w:val="0"/>
              <w:keepLines w:val="0"/>
              <w:pageBreakBefore w:val="0"/>
              <w:kinsoku/>
              <w:wordWrap/>
              <w:overflowPunct/>
              <w:topLinePunct w:val="0"/>
              <w:autoSpaceDE/>
              <w:autoSpaceDN/>
              <w:bidi w:val="0"/>
              <w:adjustRightInd/>
              <w:snapToGrid/>
              <w:spacing w:line="240" w:lineRule="exact"/>
              <w:ind w:left="0" w:leftChars="0" w:right="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优良：0.6～1分。</w:t>
            </w:r>
          </w:p>
        </w:tc>
      </w:tr>
      <w:tr w14:paraId="68A7C1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6" w:hRule="exact"/>
          <w:jc w:val="center"/>
        </w:trPr>
        <w:tc>
          <w:tcPr>
            <w:tcW w:w="977" w:type="dxa"/>
            <w:vMerge w:val="restart"/>
            <w:vAlign w:val="center"/>
          </w:tcPr>
          <w:p w14:paraId="46BC0F6D">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2.2.4（2）</w:t>
            </w:r>
          </w:p>
        </w:tc>
        <w:tc>
          <w:tcPr>
            <w:tcW w:w="784" w:type="dxa"/>
            <w:vMerge w:val="restart"/>
            <w:vAlign w:val="center"/>
          </w:tcPr>
          <w:p w14:paraId="37A8B0D3">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主要</w:t>
            </w:r>
          </w:p>
          <w:p w14:paraId="5D945B87">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人员</w:t>
            </w:r>
          </w:p>
        </w:tc>
        <w:tc>
          <w:tcPr>
            <w:tcW w:w="975" w:type="dxa"/>
            <w:vMerge w:val="restart"/>
            <w:vAlign w:val="center"/>
          </w:tcPr>
          <w:p w14:paraId="1F8831D2">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10分</w:t>
            </w:r>
          </w:p>
        </w:tc>
        <w:tc>
          <w:tcPr>
            <w:tcW w:w="2295" w:type="dxa"/>
            <w:vMerge w:val="restart"/>
            <w:vAlign w:val="center"/>
          </w:tcPr>
          <w:p w14:paraId="46EC0EB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项目经理</w:t>
            </w:r>
          </w:p>
          <w:p w14:paraId="68FD82FB">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任职资格与业绩</w:t>
            </w:r>
          </w:p>
        </w:tc>
        <w:tc>
          <w:tcPr>
            <w:tcW w:w="555" w:type="dxa"/>
            <w:vMerge w:val="restart"/>
            <w:vAlign w:val="center"/>
          </w:tcPr>
          <w:p w14:paraId="6096C4BA">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5分</w:t>
            </w:r>
          </w:p>
        </w:tc>
        <w:tc>
          <w:tcPr>
            <w:tcW w:w="3990" w:type="dxa"/>
            <w:vAlign w:val="center"/>
          </w:tcPr>
          <w:p w14:paraId="130602D8">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满足最低资格要求得3分。</w:t>
            </w:r>
            <w:bookmarkStart w:id="76" w:name="_GoBack"/>
            <w:bookmarkEnd w:id="76"/>
          </w:p>
        </w:tc>
      </w:tr>
      <w:tr w14:paraId="2FCB0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15" w:hRule="exact"/>
          <w:jc w:val="center"/>
        </w:trPr>
        <w:tc>
          <w:tcPr>
            <w:tcW w:w="977" w:type="dxa"/>
            <w:vMerge w:val="continue"/>
            <w:vAlign w:val="center"/>
          </w:tcPr>
          <w:p w14:paraId="06C3C60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1F9180A5">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2C00FBF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Merge w:val="continue"/>
            <w:vAlign w:val="center"/>
          </w:tcPr>
          <w:p w14:paraId="3CCE9A7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555" w:type="dxa"/>
            <w:vMerge w:val="continue"/>
            <w:shd w:val="clear" w:color="auto" w:fill="auto"/>
            <w:vAlign w:val="center"/>
          </w:tcPr>
          <w:p w14:paraId="5D0833AC">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3990" w:type="dxa"/>
            <w:shd w:val="clear" w:color="auto" w:fill="auto"/>
            <w:vAlign w:val="center"/>
          </w:tcPr>
          <w:p w14:paraId="1EB33E07">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在满足最低要求基础上，每增加一项以项目经理身份完成的二级或以上公路工程施工业绩加2分，最多加2分。</w:t>
            </w:r>
          </w:p>
          <w:p w14:paraId="5D5F65A3">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注：人员业绩内容中应至少包含路基、路面或桥梁三类工程中的一项，且应为国内新建、改扩建二级或以上公路业绩；养护工程业绩不能作为本次招标的人员业绩；以上业绩均应是已列入交通运输部“全国公路建设市场监督管理系统”或省级交通运输主管部门“公路建设市场信用信息管理系统”并公开可查业绩</w:t>
            </w:r>
            <w:r>
              <w:rPr>
                <w:rFonts w:hint="eastAsia" w:ascii="宋体" w:hAnsi="宋体" w:eastAsia="宋体" w:cs="宋体"/>
                <w:sz w:val="18"/>
                <w:szCs w:val="18"/>
                <w:highlight w:val="none"/>
                <w:lang w:val="zh-CN"/>
              </w:rPr>
              <w:t>，除网页截图复印件外，投标人无须再提供任何业绩证明材料。</w:t>
            </w:r>
          </w:p>
        </w:tc>
      </w:tr>
      <w:tr w14:paraId="1D244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exact"/>
          <w:jc w:val="center"/>
        </w:trPr>
        <w:tc>
          <w:tcPr>
            <w:tcW w:w="977" w:type="dxa"/>
            <w:vMerge w:val="continue"/>
            <w:vAlign w:val="center"/>
          </w:tcPr>
          <w:p w14:paraId="1B21C5A9">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79A8B743">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588B817F">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Merge w:val="restart"/>
            <w:vAlign w:val="center"/>
          </w:tcPr>
          <w:p w14:paraId="7AF3BE39">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项目总工</w:t>
            </w:r>
          </w:p>
          <w:p w14:paraId="73D58FC8">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任职资格与业绩</w:t>
            </w:r>
          </w:p>
        </w:tc>
        <w:tc>
          <w:tcPr>
            <w:tcW w:w="555" w:type="dxa"/>
            <w:vMerge w:val="restart"/>
            <w:vAlign w:val="center"/>
          </w:tcPr>
          <w:p w14:paraId="62F9EE41">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5分</w:t>
            </w:r>
          </w:p>
        </w:tc>
        <w:tc>
          <w:tcPr>
            <w:tcW w:w="3990" w:type="dxa"/>
            <w:vAlign w:val="center"/>
          </w:tcPr>
          <w:p w14:paraId="29362488">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满足最低资格要求得3分。</w:t>
            </w:r>
          </w:p>
        </w:tc>
      </w:tr>
      <w:tr w14:paraId="08EDC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4" w:hRule="exact"/>
          <w:jc w:val="center"/>
        </w:trPr>
        <w:tc>
          <w:tcPr>
            <w:tcW w:w="977" w:type="dxa"/>
            <w:vMerge w:val="continue"/>
            <w:vAlign w:val="center"/>
          </w:tcPr>
          <w:p w14:paraId="13772747">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784" w:type="dxa"/>
            <w:vMerge w:val="continue"/>
            <w:vAlign w:val="center"/>
          </w:tcPr>
          <w:p w14:paraId="5D2A9D51">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975" w:type="dxa"/>
            <w:vMerge w:val="continue"/>
            <w:vAlign w:val="center"/>
          </w:tcPr>
          <w:p w14:paraId="46E2140D">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2295" w:type="dxa"/>
            <w:vMerge w:val="continue"/>
            <w:vAlign w:val="center"/>
          </w:tcPr>
          <w:p w14:paraId="6A281894">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555" w:type="dxa"/>
            <w:vMerge w:val="continue"/>
            <w:vAlign w:val="center"/>
          </w:tcPr>
          <w:p w14:paraId="1F43C826">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p>
        </w:tc>
        <w:tc>
          <w:tcPr>
            <w:tcW w:w="3990" w:type="dxa"/>
            <w:vAlign w:val="center"/>
          </w:tcPr>
          <w:p w14:paraId="0662203E">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在满足最低要求基础上，每增加一项以项目总工身份完成的二级或以上公路工程施工业绩加2分，最多加2分。</w:t>
            </w:r>
          </w:p>
          <w:p w14:paraId="7D7B941B">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注：人员业绩内容中应至少包含路基、路面或桥梁三类工程中的一项，且应为国内新建、改扩建二级或以上公路业绩</w:t>
            </w:r>
            <w:r>
              <w:rPr>
                <w:rFonts w:hint="eastAsia" w:ascii="宋体" w:hAnsi="宋体" w:eastAsia="宋体" w:cs="宋体"/>
                <w:sz w:val="18"/>
                <w:szCs w:val="18"/>
                <w:highlight w:val="none"/>
                <w:lang w:val="zh-CN"/>
              </w:rPr>
              <w:t>；养护工程业绩不能作为本次招标的人员业绩；以上业绩均应是已列入交通运输部“全国公路建设市场监督管理系统”或省级交通运输主管部门“公路建设市场信用信息管理系统”并公开可查业绩，除网页截图复印件外，投标人无须再提供任何业绩证明材料。</w:t>
            </w:r>
          </w:p>
        </w:tc>
      </w:tr>
      <w:tr w14:paraId="2429AF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1" w:hRule="exact"/>
          <w:jc w:val="center"/>
        </w:trPr>
        <w:tc>
          <w:tcPr>
            <w:tcW w:w="977" w:type="dxa"/>
            <w:vAlign w:val="center"/>
          </w:tcPr>
          <w:p w14:paraId="253B0175">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2.2.4（3）</w:t>
            </w:r>
          </w:p>
        </w:tc>
        <w:tc>
          <w:tcPr>
            <w:tcW w:w="784" w:type="dxa"/>
            <w:vAlign w:val="center"/>
          </w:tcPr>
          <w:p w14:paraId="63B3B693">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w:t>
            </w:r>
          </w:p>
        </w:tc>
        <w:tc>
          <w:tcPr>
            <w:tcW w:w="975" w:type="dxa"/>
            <w:vAlign w:val="center"/>
          </w:tcPr>
          <w:p w14:paraId="007013C7">
            <w:pPr>
              <w:keepNext w:val="0"/>
              <w:keepLines w:val="0"/>
              <w:pageBreakBefore w:val="0"/>
              <w:kinsoku/>
              <w:wordWrap/>
              <w:overflowPunct/>
              <w:topLinePunct w:val="0"/>
              <w:autoSpaceDE/>
              <w:autoSpaceDN/>
              <w:bidi w:val="0"/>
              <w:adjustRightInd/>
              <w:snapToGrid/>
              <w:spacing w:line="240" w:lineRule="exact"/>
              <w:ind w:left="0" w:leftChars="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50分</w:t>
            </w:r>
          </w:p>
        </w:tc>
        <w:tc>
          <w:tcPr>
            <w:tcW w:w="6840" w:type="dxa"/>
            <w:gridSpan w:val="3"/>
            <w:vAlign w:val="center"/>
          </w:tcPr>
          <w:p w14:paraId="66B35BC2">
            <w:pPr>
              <w:keepNext w:val="0"/>
              <w:keepLines w:val="0"/>
              <w:pageBreakBefore w:val="0"/>
              <w:kinsoku/>
              <w:wordWrap/>
              <w:overflowPunct/>
              <w:topLinePunct w:val="0"/>
              <w:autoSpaceDE/>
              <w:autoSpaceDN/>
              <w:bidi w:val="0"/>
              <w:adjustRightInd/>
              <w:snapToGrid/>
              <w:spacing w:line="240" w:lineRule="exact"/>
              <w:ind w:left="57" w:leftChars="0" w:right="0" w:hanging="57" w:hangingChars="32"/>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评标价得分计算：</w:t>
            </w:r>
          </w:p>
          <w:p w14:paraId="09D4109A">
            <w:pPr>
              <w:keepNext w:val="0"/>
              <w:keepLines w:val="0"/>
              <w:pageBreakBefore w:val="0"/>
              <w:kinsoku/>
              <w:wordWrap/>
              <w:overflowPunct/>
              <w:topLinePunct w:val="0"/>
              <w:autoSpaceDE/>
              <w:autoSpaceDN/>
              <w:bidi w:val="0"/>
              <w:adjustRightInd/>
              <w:snapToGrid/>
              <w:spacing w:line="240" w:lineRule="exact"/>
              <w:ind w:left="57" w:leftChars="0" w:right="0" w:hanging="57" w:hangingChars="32"/>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（1）如果投标人的评标价＞评标基准价，则评标价得分=50-偏差率绝对值×100×0.1；</w:t>
            </w:r>
          </w:p>
          <w:p w14:paraId="278D8AD6">
            <w:pPr>
              <w:keepNext w:val="0"/>
              <w:keepLines w:val="0"/>
              <w:pageBreakBefore w:val="0"/>
              <w:kinsoku/>
              <w:wordWrap/>
              <w:overflowPunct/>
              <w:topLinePunct w:val="0"/>
              <w:autoSpaceDE/>
              <w:autoSpaceDN/>
              <w:bidi w:val="0"/>
              <w:adjustRightInd/>
              <w:snapToGrid/>
              <w:spacing w:line="240" w:lineRule="exact"/>
              <w:ind w:left="57" w:leftChars="0" w:right="0" w:hanging="57" w:hangingChars="32"/>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（2）如果投标人的评标价≤评标基准价，则评标价得分=50-偏差率绝对值×100×0.05。</w:t>
            </w:r>
          </w:p>
          <w:p w14:paraId="7C13F1A1">
            <w:pPr>
              <w:keepNext w:val="0"/>
              <w:keepLines w:val="0"/>
              <w:pageBreakBefore w:val="0"/>
              <w:kinsoku/>
              <w:wordWrap/>
              <w:overflowPunct/>
              <w:topLinePunct w:val="0"/>
              <w:autoSpaceDE/>
              <w:autoSpaceDN/>
              <w:bidi w:val="0"/>
              <w:adjustRightInd/>
              <w:snapToGrid/>
              <w:spacing w:line="240" w:lineRule="exact"/>
              <w:ind w:left="0" w:leftChars="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评标价得分最低扣至0分。</w:t>
            </w:r>
          </w:p>
        </w:tc>
      </w:tr>
    </w:tbl>
    <w:p w14:paraId="6E2CEEB8">
      <w:pPr>
        <w:rPr>
          <w:rFonts w:hint="eastAsia" w:ascii="宋体" w:hAnsi="宋体" w:eastAsia="宋体" w:cs="宋体"/>
          <w:sz w:val="18"/>
          <w:szCs w:val="18"/>
          <w:highlight w:val="none"/>
        </w:rPr>
      </w:pPr>
      <w:r>
        <w:rPr>
          <w:rFonts w:hint="eastAsia" w:ascii="宋体" w:hAnsi="宋体" w:eastAsia="宋体" w:cs="宋体"/>
          <w:sz w:val="18"/>
          <w:szCs w:val="18"/>
          <w:highlight w:val="none"/>
        </w:rPr>
        <w:br w:type="page"/>
      </w:r>
    </w:p>
    <w:p w14:paraId="4CCEEBC0">
      <w:pPr>
        <w:spacing w:line="360" w:lineRule="auto"/>
        <w:jc w:val="right"/>
        <w:rPr>
          <w:rFonts w:hint="eastAsia" w:ascii="宋体" w:hAnsi="宋体" w:eastAsia="宋体" w:cs="宋体"/>
          <w:sz w:val="18"/>
          <w:szCs w:val="18"/>
          <w:highlight w:val="none"/>
        </w:rPr>
      </w:pPr>
      <w:r>
        <w:rPr>
          <w:rFonts w:hint="eastAsia" w:ascii="宋体" w:hAnsi="宋体" w:eastAsia="宋体" w:cs="宋体"/>
          <w:sz w:val="18"/>
          <w:szCs w:val="18"/>
          <w:highlight w:val="none"/>
        </w:rPr>
        <w:t>续上表</w:t>
      </w:r>
    </w:p>
    <w:tbl>
      <w:tblPr>
        <w:tblStyle w:val="8"/>
        <w:tblW w:w="95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0"/>
        <w:gridCol w:w="623"/>
        <w:gridCol w:w="926"/>
        <w:gridCol w:w="1125"/>
        <w:gridCol w:w="960"/>
        <w:gridCol w:w="735"/>
        <w:gridCol w:w="4127"/>
      </w:tblGrid>
      <w:tr w14:paraId="109F49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5389" w:type="dxa"/>
            <w:gridSpan w:val="6"/>
            <w:vAlign w:val="center"/>
          </w:tcPr>
          <w:p w14:paraId="3936F599">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评分因素与权重分值</w:t>
            </w:r>
          </w:p>
        </w:tc>
        <w:tc>
          <w:tcPr>
            <w:tcW w:w="4127" w:type="dxa"/>
            <w:vMerge w:val="restart"/>
            <w:vAlign w:val="center"/>
          </w:tcPr>
          <w:p w14:paraId="0C78C80D">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评分标准</w:t>
            </w:r>
          </w:p>
        </w:tc>
      </w:tr>
      <w:tr w14:paraId="427153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6" w:hRule="atLeast"/>
          <w:jc w:val="center"/>
        </w:trPr>
        <w:tc>
          <w:tcPr>
            <w:tcW w:w="1020" w:type="dxa"/>
            <w:vAlign w:val="center"/>
          </w:tcPr>
          <w:p w14:paraId="49D59438">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条款号</w:t>
            </w:r>
          </w:p>
        </w:tc>
        <w:tc>
          <w:tcPr>
            <w:tcW w:w="1549" w:type="dxa"/>
            <w:gridSpan w:val="2"/>
            <w:vAlign w:val="center"/>
          </w:tcPr>
          <w:p w14:paraId="21A3F4B3">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评分因素</w:t>
            </w:r>
          </w:p>
        </w:tc>
        <w:tc>
          <w:tcPr>
            <w:tcW w:w="1125" w:type="dxa"/>
            <w:vAlign w:val="center"/>
          </w:tcPr>
          <w:p w14:paraId="29EF2E07">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评分因素</w:t>
            </w:r>
          </w:p>
          <w:p w14:paraId="57C58275">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权重分值</w:t>
            </w:r>
          </w:p>
        </w:tc>
        <w:tc>
          <w:tcPr>
            <w:tcW w:w="960" w:type="dxa"/>
            <w:vAlign w:val="center"/>
          </w:tcPr>
          <w:p w14:paraId="4F2A9A05">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各评分因素细分项</w:t>
            </w:r>
          </w:p>
        </w:tc>
        <w:tc>
          <w:tcPr>
            <w:tcW w:w="735" w:type="dxa"/>
            <w:vAlign w:val="center"/>
          </w:tcPr>
          <w:p w14:paraId="306391A7">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分值</w:t>
            </w:r>
          </w:p>
        </w:tc>
        <w:tc>
          <w:tcPr>
            <w:tcW w:w="4127" w:type="dxa"/>
            <w:vMerge w:val="continue"/>
            <w:vAlign w:val="center"/>
          </w:tcPr>
          <w:p w14:paraId="76D7735B">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r>
      <w:tr w14:paraId="50EB4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4" w:hRule="exact"/>
          <w:jc w:val="center"/>
        </w:trPr>
        <w:tc>
          <w:tcPr>
            <w:tcW w:w="1020" w:type="dxa"/>
            <w:vMerge w:val="restart"/>
            <w:vAlign w:val="center"/>
          </w:tcPr>
          <w:p w14:paraId="108B462E">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2.2.4（4）</w:t>
            </w:r>
          </w:p>
        </w:tc>
        <w:tc>
          <w:tcPr>
            <w:tcW w:w="623" w:type="dxa"/>
            <w:vMerge w:val="restart"/>
            <w:vAlign w:val="center"/>
          </w:tcPr>
          <w:p w14:paraId="4A10183E">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其他因素</w:t>
            </w:r>
          </w:p>
        </w:tc>
        <w:tc>
          <w:tcPr>
            <w:tcW w:w="926" w:type="dxa"/>
            <w:vMerge w:val="restart"/>
            <w:vAlign w:val="center"/>
          </w:tcPr>
          <w:p w14:paraId="5134106D">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企业</w:t>
            </w:r>
          </w:p>
          <w:p w14:paraId="667EF1F1">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业绩</w:t>
            </w:r>
          </w:p>
        </w:tc>
        <w:tc>
          <w:tcPr>
            <w:tcW w:w="1125" w:type="dxa"/>
            <w:vMerge w:val="restart"/>
            <w:vAlign w:val="center"/>
          </w:tcPr>
          <w:p w14:paraId="2F148836">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15分</w:t>
            </w:r>
          </w:p>
        </w:tc>
        <w:tc>
          <w:tcPr>
            <w:tcW w:w="960" w:type="dxa"/>
            <w:vMerge w:val="restart"/>
            <w:vAlign w:val="center"/>
          </w:tcPr>
          <w:p w14:paraId="41BA5B68">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企业</w:t>
            </w:r>
          </w:p>
          <w:p w14:paraId="25516BD1">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业绩</w:t>
            </w:r>
          </w:p>
        </w:tc>
        <w:tc>
          <w:tcPr>
            <w:tcW w:w="735" w:type="dxa"/>
            <w:tcBorders>
              <w:bottom w:val="single" w:color="auto" w:sz="4" w:space="0"/>
            </w:tcBorders>
            <w:vAlign w:val="center"/>
          </w:tcPr>
          <w:p w14:paraId="3FA1EBE5">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9分</w:t>
            </w:r>
          </w:p>
        </w:tc>
        <w:tc>
          <w:tcPr>
            <w:tcW w:w="4127" w:type="dxa"/>
            <w:tcBorders>
              <w:bottom w:val="single" w:color="auto" w:sz="4" w:space="0"/>
            </w:tcBorders>
            <w:vAlign w:val="center"/>
          </w:tcPr>
          <w:p w14:paraId="41E38828">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pacing w:val="7"/>
                <w:sz w:val="18"/>
                <w:szCs w:val="18"/>
                <w:highlight w:val="none"/>
              </w:rPr>
              <w:t>投标人（如为联合体，则指联合体所有成员整</w:t>
            </w:r>
            <w:r>
              <w:rPr>
                <w:rFonts w:hint="eastAsia" w:ascii="宋体" w:hAnsi="宋体" w:eastAsia="宋体" w:cs="宋体"/>
                <w:spacing w:val="5"/>
                <w:sz w:val="18"/>
                <w:szCs w:val="18"/>
                <w:highlight w:val="none"/>
              </w:rPr>
              <w:t>体）</w:t>
            </w:r>
            <w:r>
              <w:rPr>
                <w:rFonts w:hint="eastAsia" w:ascii="宋体" w:hAnsi="宋体" w:eastAsia="宋体" w:cs="宋体"/>
                <w:sz w:val="18"/>
                <w:szCs w:val="18"/>
                <w:highlight w:val="none"/>
              </w:rPr>
              <w:t>满足最低资格要求得9分。</w:t>
            </w:r>
          </w:p>
        </w:tc>
      </w:tr>
      <w:tr w14:paraId="7874C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53" w:hRule="exact"/>
          <w:jc w:val="center"/>
        </w:trPr>
        <w:tc>
          <w:tcPr>
            <w:tcW w:w="1020" w:type="dxa"/>
            <w:vMerge w:val="continue"/>
            <w:vAlign w:val="center"/>
          </w:tcPr>
          <w:p w14:paraId="6D7B7DE3">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623" w:type="dxa"/>
            <w:vMerge w:val="continue"/>
            <w:vAlign w:val="center"/>
          </w:tcPr>
          <w:p w14:paraId="359958B0">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926" w:type="dxa"/>
            <w:vMerge w:val="continue"/>
            <w:vAlign w:val="center"/>
          </w:tcPr>
          <w:p w14:paraId="56EC2F14">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1125" w:type="dxa"/>
            <w:vMerge w:val="continue"/>
            <w:vAlign w:val="center"/>
          </w:tcPr>
          <w:p w14:paraId="3DD6F59F">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960" w:type="dxa"/>
            <w:vMerge w:val="continue"/>
            <w:vAlign w:val="center"/>
          </w:tcPr>
          <w:p w14:paraId="7A99A90E">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735" w:type="dxa"/>
            <w:tcBorders>
              <w:bottom w:val="single" w:color="auto" w:sz="4" w:space="0"/>
            </w:tcBorders>
            <w:vAlign w:val="center"/>
          </w:tcPr>
          <w:p w14:paraId="73F7652F">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6分</w:t>
            </w:r>
          </w:p>
        </w:tc>
        <w:tc>
          <w:tcPr>
            <w:tcW w:w="4127" w:type="dxa"/>
            <w:tcBorders>
              <w:bottom w:val="single" w:color="auto" w:sz="4" w:space="0"/>
            </w:tcBorders>
            <w:vAlign w:val="center"/>
          </w:tcPr>
          <w:p w14:paraId="74F1B9E0">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在满足最低要求基础上，近五年（2021年1月1日至今，以交工时间为准）完成的二级或以上公路施工业绩每增加1项加3分，最高加6分。</w:t>
            </w:r>
          </w:p>
          <w:p w14:paraId="6FD6C4BC">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注：施工业绩的施工内容中应至少包含路基、路面或桥梁三类工程中的一项，且应为国内新建、改扩建二级或以上公路业绩；养护工程及国外工程业绩不能作为本次招标的施工业绩；以上业绩均应是已列入</w:t>
            </w:r>
            <w:r>
              <w:rPr>
                <w:rFonts w:hint="eastAsia" w:ascii="宋体" w:hAnsi="宋体" w:eastAsia="宋体" w:cs="宋体"/>
                <w:sz w:val="18"/>
                <w:szCs w:val="18"/>
                <w:highlight w:val="none"/>
                <w:lang w:val="zh-CN"/>
              </w:rPr>
              <w:t>交通运输部“全国公路建设市场监督管理系统”或省级交通运输主管部门“公路建设市场信用信息管理系统”并公开可查业绩</w:t>
            </w:r>
            <w:r>
              <w:rPr>
                <w:rFonts w:hint="eastAsia" w:ascii="宋体" w:hAnsi="宋体" w:eastAsia="宋体" w:cs="宋体"/>
                <w:sz w:val="18"/>
                <w:szCs w:val="18"/>
                <w:highlight w:val="none"/>
              </w:rPr>
              <w:t>。</w:t>
            </w:r>
          </w:p>
          <w:p w14:paraId="78767BC3">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p>
          <w:p w14:paraId="1D9A9785">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p>
          <w:p w14:paraId="59040BA6">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p>
          <w:p w14:paraId="730C4104">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p>
        </w:tc>
      </w:tr>
      <w:tr w14:paraId="1A6AE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5" w:hRule="exact"/>
          <w:jc w:val="center"/>
        </w:trPr>
        <w:tc>
          <w:tcPr>
            <w:tcW w:w="1020" w:type="dxa"/>
            <w:vMerge w:val="continue"/>
            <w:vAlign w:val="center"/>
          </w:tcPr>
          <w:p w14:paraId="32D06F11">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623" w:type="dxa"/>
            <w:vMerge w:val="continue"/>
            <w:vAlign w:val="center"/>
          </w:tcPr>
          <w:p w14:paraId="0141A457">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p>
        </w:tc>
        <w:tc>
          <w:tcPr>
            <w:tcW w:w="926" w:type="dxa"/>
            <w:vAlign w:val="center"/>
          </w:tcPr>
          <w:p w14:paraId="4E4A43D1">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履约</w:t>
            </w:r>
          </w:p>
          <w:p w14:paraId="12189B32">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信誉</w:t>
            </w:r>
          </w:p>
        </w:tc>
        <w:tc>
          <w:tcPr>
            <w:tcW w:w="1125" w:type="dxa"/>
            <w:vAlign w:val="center"/>
          </w:tcPr>
          <w:p w14:paraId="55068C2E">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5分</w:t>
            </w:r>
          </w:p>
        </w:tc>
        <w:tc>
          <w:tcPr>
            <w:tcW w:w="960" w:type="dxa"/>
            <w:vAlign w:val="center"/>
          </w:tcPr>
          <w:p w14:paraId="773C9155">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信用</w:t>
            </w:r>
          </w:p>
          <w:p w14:paraId="69A054CD">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评价</w:t>
            </w:r>
          </w:p>
        </w:tc>
        <w:tc>
          <w:tcPr>
            <w:tcW w:w="735" w:type="dxa"/>
            <w:vAlign w:val="center"/>
          </w:tcPr>
          <w:p w14:paraId="46E21E1B">
            <w:pPr>
              <w:keepNext w:val="0"/>
              <w:keepLines w:val="0"/>
              <w:pageBreakBefore w:val="0"/>
              <w:kinsoku/>
              <w:wordWrap/>
              <w:overflowPunct/>
              <w:topLinePunct w:val="0"/>
              <w:bidi w:val="0"/>
              <w:spacing w:line="240" w:lineRule="exact"/>
              <w:ind w:left="0" w:right="0"/>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5分</w:t>
            </w:r>
          </w:p>
        </w:tc>
        <w:tc>
          <w:tcPr>
            <w:tcW w:w="4127" w:type="dxa"/>
            <w:vAlign w:val="center"/>
          </w:tcPr>
          <w:p w14:paraId="6BA9BF48">
            <w:pPr>
              <w:keepNext w:val="0"/>
              <w:keepLines w:val="0"/>
              <w:pageBreakBefore w:val="0"/>
              <w:kinsoku/>
              <w:wordWrap/>
              <w:overflowPunct/>
              <w:topLinePunct w:val="0"/>
              <w:autoSpaceDE w:val="0"/>
              <w:autoSpaceDN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投标人的信用评价按以下原则确定：</w:t>
            </w:r>
          </w:p>
          <w:p w14:paraId="6A1C2650">
            <w:pPr>
              <w:pStyle w:val="2"/>
              <w:keepNext w:val="0"/>
              <w:keepLines w:val="0"/>
              <w:pageBreakBefore w:val="0"/>
              <w:widowControl/>
              <w:shd w:val="clear" w:color="auto" w:fill="FFFFFF"/>
              <w:kinsoku/>
              <w:wordWrap/>
              <w:overflowPunct/>
              <w:topLinePunct w:val="0"/>
              <w:bidi w:val="0"/>
              <w:spacing w:before="0" w:after="0" w:line="240" w:lineRule="exact"/>
              <w:ind w:left="0" w:right="0"/>
              <w:jc w:val="left"/>
              <w:textAlignment w:val="auto"/>
              <w:rPr>
                <w:rFonts w:hint="eastAsia" w:ascii="宋体" w:hAnsi="宋体" w:eastAsia="宋体" w:cs="宋体"/>
                <w:b w:val="0"/>
                <w:bCs w:val="0"/>
                <w:kern w:val="2"/>
                <w:sz w:val="18"/>
                <w:szCs w:val="18"/>
                <w:highlight w:val="none"/>
              </w:rPr>
            </w:pPr>
            <w:bookmarkStart w:id="14" w:name="_Toc19581"/>
            <w:bookmarkStart w:id="15" w:name="_Toc22800"/>
            <w:bookmarkStart w:id="16" w:name="_Toc17717"/>
            <w:r>
              <w:rPr>
                <w:rFonts w:hint="eastAsia" w:ascii="宋体" w:hAnsi="宋体" w:eastAsia="宋体" w:cs="宋体"/>
                <w:b w:val="0"/>
                <w:bCs w:val="0"/>
                <w:kern w:val="2"/>
                <w:sz w:val="18"/>
                <w:szCs w:val="18"/>
                <w:highlight w:val="none"/>
              </w:rPr>
              <w:t>（1）吉林省交通运输厅发布的“吉林省202</w:t>
            </w:r>
            <w:r>
              <w:rPr>
                <w:rFonts w:hint="eastAsia" w:ascii="宋体" w:hAnsi="宋体" w:eastAsia="宋体" w:cs="宋体"/>
                <w:b w:val="0"/>
                <w:bCs w:val="0"/>
                <w:kern w:val="2"/>
                <w:sz w:val="18"/>
                <w:szCs w:val="18"/>
                <w:highlight w:val="none"/>
                <w:lang w:val="en-US" w:eastAsia="zh-CN"/>
              </w:rPr>
              <w:t>5</w:t>
            </w:r>
            <w:r>
              <w:rPr>
                <w:rFonts w:hint="eastAsia" w:ascii="宋体" w:hAnsi="宋体" w:eastAsia="宋体" w:cs="宋体"/>
                <w:b w:val="0"/>
                <w:bCs w:val="0"/>
                <w:kern w:val="2"/>
                <w:sz w:val="18"/>
                <w:szCs w:val="18"/>
                <w:highlight w:val="none"/>
              </w:rPr>
              <w:t>年度公路建设市场吉林省省级综合评价结果”中的企业信用等级；</w:t>
            </w:r>
            <w:bookmarkEnd w:id="14"/>
            <w:bookmarkEnd w:id="15"/>
            <w:bookmarkEnd w:id="16"/>
          </w:p>
          <w:p w14:paraId="54F6C053">
            <w:pPr>
              <w:keepNext w:val="0"/>
              <w:keepLines w:val="0"/>
              <w:pageBreakBefore w:val="0"/>
              <w:kinsoku/>
              <w:wordWrap/>
              <w:overflowPunct/>
              <w:topLinePunct w:val="0"/>
              <w:autoSpaceDE w:val="0"/>
              <w:autoSpaceDN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（2）交通运输部“全国公路建设市场监督管理系统”“全国公路从业单位信用评价结果”中投标人的全国综合评价2024年度企业信用等级；</w:t>
            </w:r>
          </w:p>
          <w:p w14:paraId="193D1442">
            <w:pPr>
              <w:keepNext w:val="0"/>
              <w:keepLines w:val="0"/>
              <w:pageBreakBefore w:val="0"/>
              <w:kinsoku/>
              <w:wordWrap/>
              <w:overflowPunct/>
              <w:topLinePunct w:val="0"/>
              <w:autoSpaceDE w:val="0"/>
              <w:autoSpaceDN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（3）同一投标人同时具有上述企业信用评价的，以信用等级较低的为准；</w:t>
            </w:r>
          </w:p>
          <w:p w14:paraId="573EF53A">
            <w:pPr>
              <w:keepNext w:val="0"/>
              <w:keepLines w:val="0"/>
              <w:pageBreakBefore w:val="0"/>
              <w:kinsoku/>
              <w:wordWrap/>
              <w:overflowPunct/>
              <w:topLinePunct w:val="0"/>
              <w:autoSpaceDE w:val="0"/>
              <w:autoSpaceDN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（4）无上述企业信用评价的，在2025年度若无“不良信用记录”（以投标人承诺为准），按A级对待，若有不良信用记录，按C级、D级对待。</w:t>
            </w:r>
          </w:p>
          <w:p w14:paraId="25529654">
            <w:pPr>
              <w:keepNext w:val="0"/>
              <w:keepLines w:val="0"/>
              <w:pageBreakBefore w:val="0"/>
              <w:kinsoku/>
              <w:wordWrap/>
              <w:overflowPunct/>
              <w:topLinePunct w:val="0"/>
              <w:autoSpaceDE w:val="0"/>
              <w:autoSpaceDN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（5）联合体参与投标的，按上述原则首先确定联合体各成员信用等级，最后按照联合体所有成员中最低等级方认定联合体信用等级。</w:t>
            </w:r>
          </w:p>
          <w:p w14:paraId="6C5DC956">
            <w:pPr>
              <w:keepNext w:val="0"/>
              <w:keepLines w:val="0"/>
              <w:pageBreakBefore w:val="0"/>
              <w:kinsoku/>
              <w:wordWrap/>
              <w:overflowPunct/>
              <w:topLinePunct w:val="0"/>
              <w:autoSpaceDE w:val="0"/>
              <w:autoSpaceDN w:val="0"/>
              <w:bidi w:val="0"/>
              <w:spacing w:line="240" w:lineRule="exact"/>
              <w:ind w:left="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AA级、A级5分</w:t>
            </w:r>
          </w:p>
          <w:p w14:paraId="6501EA9E">
            <w:pPr>
              <w:keepNext w:val="0"/>
              <w:keepLines w:val="0"/>
              <w:pageBreakBefore w:val="0"/>
              <w:kinsoku/>
              <w:wordWrap/>
              <w:overflowPunct/>
              <w:topLinePunct w:val="0"/>
              <w:autoSpaceDE w:val="0"/>
              <w:autoSpaceDN w:val="0"/>
              <w:bidi w:val="0"/>
              <w:spacing w:line="240" w:lineRule="exact"/>
              <w:ind w:left="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B级3分</w:t>
            </w:r>
          </w:p>
          <w:p w14:paraId="15928B57">
            <w:pPr>
              <w:keepNext w:val="0"/>
              <w:keepLines w:val="0"/>
              <w:pageBreakBefore w:val="0"/>
              <w:kinsoku/>
              <w:wordWrap/>
              <w:overflowPunct/>
              <w:topLinePunct w:val="0"/>
              <w:autoSpaceDE w:val="0"/>
              <w:autoSpaceDN w:val="0"/>
              <w:bidi w:val="0"/>
              <w:spacing w:line="240" w:lineRule="exact"/>
              <w:ind w:left="0" w:right="0" w:firstLine="180" w:firstLineChars="1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C级、D级0分</w:t>
            </w:r>
          </w:p>
          <w:p w14:paraId="31F83736">
            <w:pPr>
              <w:keepNext w:val="0"/>
              <w:keepLines w:val="0"/>
              <w:pageBreakBefore w:val="0"/>
              <w:kinsoku/>
              <w:wordWrap/>
              <w:overflowPunct/>
              <w:topLinePunct w:val="0"/>
              <w:bidi w:val="0"/>
              <w:spacing w:line="240" w:lineRule="exact"/>
              <w:ind w:left="0" w:right="0" w:firstLine="180" w:firstLineChars="100"/>
              <w:jc w:val="left"/>
              <w:textAlignment w:val="auto"/>
              <w:rPr>
                <w:rFonts w:hint="eastAsia" w:ascii="宋体" w:hAnsi="宋体" w:eastAsia="宋体" w:cs="宋体"/>
                <w:sz w:val="18"/>
                <w:szCs w:val="18"/>
                <w:highlight w:val="none"/>
              </w:rPr>
            </w:pPr>
          </w:p>
        </w:tc>
      </w:tr>
      <w:tr w14:paraId="359A03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70" w:hRule="atLeast"/>
          <w:jc w:val="center"/>
        </w:trPr>
        <w:tc>
          <w:tcPr>
            <w:tcW w:w="9516" w:type="dxa"/>
            <w:gridSpan w:val="7"/>
            <w:vAlign w:val="center"/>
          </w:tcPr>
          <w:p w14:paraId="12E15779">
            <w:pPr>
              <w:keepNext w:val="0"/>
              <w:keepLines w:val="0"/>
              <w:pageBreakBefore w:val="0"/>
              <w:kinsoku/>
              <w:wordWrap/>
              <w:overflowPunct/>
              <w:topLinePunct w:val="0"/>
              <w:bidi w:val="0"/>
              <w:spacing w:line="240" w:lineRule="exact"/>
              <w:ind w:left="0" w:right="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需要补充的其他内容：</w:t>
            </w:r>
          </w:p>
          <w:p w14:paraId="69E572D4">
            <w:pPr>
              <w:keepNext w:val="0"/>
              <w:keepLines w:val="0"/>
              <w:pageBreakBefore w:val="0"/>
              <w:kinsoku/>
              <w:wordWrap/>
              <w:overflowPunct/>
              <w:topLinePunct w:val="0"/>
              <w:bidi w:val="0"/>
              <w:adjustRightInd w:val="0"/>
              <w:snapToGrid w:val="0"/>
              <w:spacing w:line="240" w:lineRule="exact"/>
              <w:ind w:left="0" w:right="0" w:firstLine="42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各评分因素（评标价和履约信誉评分项除外）得分一般不得低于其权重分值的60%，且各评分因素得分应以评标委员会各成员的打分平均值确定，该平均值以去掉一个最高分和一个最低分后计算。评标委员会成员对某一项评分因素的评分低于权重分值60%的，应在评标报告中作出说明。所有评分分值均保留至小数点后两位，小数点后第三位四舍五入。</w:t>
            </w:r>
          </w:p>
          <w:p w14:paraId="22731FDC">
            <w:pPr>
              <w:keepNext w:val="0"/>
              <w:keepLines w:val="0"/>
              <w:pageBreakBefore w:val="0"/>
              <w:kinsoku/>
              <w:wordWrap/>
              <w:overflowPunct/>
              <w:topLinePunct w:val="0"/>
              <w:bidi w:val="0"/>
              <w:adjustRightInd w:val="0"/>
              <w:snapToGrid w:val="0"/>
              <w:spacing w:line="240" w:lineRule="exact"/>
              <w:ind w:left="0" w:right="0" w:firstLine="420"/>
              <w:jc w:val="left"/>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施工组织设计采用“暗标”评审，如果某投标人的施工组织设计没有按照招标文件规定的格式、内容编制，且经评标委员会认定会暴露投标人信息的，评标委员会应一致将其施工组织设计评为0分，在详细评审中做否决处理，并在评标报告中作出详细说明。</w:t>
            </w:r>
          </w:p>
        </w:tc>
      </w:tr>
    </w:tbl>
    <w:p w14:paraId="70862C41">
      <w:pPr>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z w:val="18"/>
          <w:szCs w:val="18"/>
          <w:highlight w:val="none"/>
        </w:rPr>
      </w:pPr>
      <w:bookmarkStart w:id="17" w:name="_Toc509492449"/>
      <w:r>
        <w:rPr>
          <w:rFonts w:hint="eastAsia" w:ascii="宋体" w:hAnsi="宋体" w:eastAsia="宋体" w:cs="宋体"/>
          <w:bCs/>
          <w:sz w:val="18"/>
          <w:szCs w:val="18"/>
          <w:highlight w:val="none"/>
        </w:rPr>
        <w:t>评标办法</w:t>
      </w:r>
    </w:p>
    <w:bookmarkEnd w:id="17"/>
    <w:p w14:paraId="665CAE20">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18" w:name="_Toc13297"/>
      <w:bookmarkStart w:id="19" w:name="_Toc35268506"/>
      <w:bookmarkStart w:id="20" w:name="_Toc25818"/>
      <w:bookmarkStart w:id="21" w:name="_Toc234382664"/>
      <w:bookmarkStart w:id="22" w:name="_Toc22826"/>
      <w:r>
        <w:rPr>
          <w:rFonts w:hint="eastAsia" w:ascii="宋体" w:hAnsi="宋体" w:eastAsia="宋体" w:cs="宋体"/>
          <w:sz w:val="18"/>
          <w:szCs w:val="18"/>
          <w:highlight w:val="none"/>
        </w:rPr>
        <w:t>1.评标方法</w:t>
      </w:r>
      <w:bookmarkEnd w:id="18"/>
      <w:bookmarkEnd w:id="19"/>
      <w:bookmarkEnd w:id="20"/>
      <w:bookmarkEnd w:id="21"/>
      <w:bookmarkEnd w:id="22"/>
    </w:p>
    <w:p w14:paraId="0C90ECDA">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本次评标采用综合评分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2EDB17E6">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23" w:name="_Toc35268507"/>
      <w:bookmarkStart w:id="24" w:name="_Toc3624"/>
      <w:bookmarkStart w:id="25" w:name="_Toc234382665"/>
      <w:bookmarkStart w:id="26" w:name="_Toc11634"/>
      <w:bookmarkStart w:id="27" w:name="_Toc16452"/>
      <w:r>
        <w:rPr>
          <w:rFonts w:hint="eastAsia" w:ascii="宋体" w:hAnsi="宋体" w:eastAsia="宋体" w:cs="宋体"/>
          <w:sz w:val="18"/>
          <w:szCs w:val="18"/>
          <w:highlight w:val="none"/>
        </w:rPr>
        <w:t>2.评审标准</w:t>
      </w:r>
      <w:bookmarkEnd w:id="23"/>
      <w:bookmarkEnd w:id="24"/>
      <w:bookmarkEnd w:id="25"/>
      <w:bookmarkEnd w:id="26"/>
      <w:bookmarkEnd w:id="27"/>
    </w:p>
    <w:p w14:paraId="2630AEF1">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28" w:name="_Toc35268508"/>
      <w:bookmarkStart w:id="29" w:name="_Toc1242"/>
      <w:bookmarkStart w:id="30" w:name="_Toc24001"/>
      <w:bookmarkStart w:id="31" w:name="_Toc28236"/>
      <w:r>
        <w:rPr>
          <w:rFonts w:hint="eastAsia" w:ascii="宋体" w:hAnsi="宋体" w:eastAsia="宋体" w:cs="宋体"/>
          <w:sz w:val="18"/>
          <w:szCs w:val="18"/>
          <w:highlight w:val="none"/>
        </w:rPr>
        <w:t>2.1初步评审标准</w:t>
      </w:r>
      <w:bookmarkEnd w:id="28"/>
      <w:bookmarkEnd w:id="29"/>
      <w:bookmarkEnd w:id="30"/>
      <w:bookmarkEnd w:id="31"/>
    </w:p>
    <w:p w14:paraId="34B42BF8">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2.1.1形式评审标准：见评标办法前附表。</w:t>
      </w:r>
    </w:p>
    <w:p w14:paraId="7F07897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2.1.2资格评审标准：见评标办法前附表（适用于未进行资格预审的）。</w:t>
      </w:r>
    </w:p>
    <w:p w14:paraId="5F312877">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2.1.2资格评审标准：见资格预审文件第三章“资格审查办法”详细审查标准（适用于已进行资格预审的）。</w:t>
      </w:r>
    </w:p>
    <w:p w14:paraId="7BEA4AD9">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2.1.3响应性评审标准：见评标办法前附表。</w:t>
      </w:r>
    </w:p>
    <w:p w14:paraId="66465D11">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32" w:name="_Toc35268509"/>
      <w:bookmarkStart w:id="33" w:name="_Toc31001"/>
      <w:bookmarkStart w:id="34" w:name="_Toc24568"/>
      <w:bookmarkStart w:id="35" w:name="_Toc27775"/>
      <w:r>
        <w:rPr>
          <w:rFonts w:hint="eastAsia" w:ascii="宋体" w:hAnsi="宋体" w:eastAsia="宋体" w:cs="宋体"/>
          <w:sz w:val="18"/>
          <w:szCs w:val="18"/>
          <w:highlight w:val="none"/>
        </w:rPr>
        <w:t>2.2分值构成与评分标准</w:t>
      </w:r>
      <w:bookmarkEnd w:id="32"/>
      <w:bookmarkEnd w:id="33"/>
      <w:bookmarkEnd w:id="34"/>
      <w:bookmarkEnd w:id="35"/>
    </w:p>
    <w:p w14:paraId="346D474B">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2.2.1分值构成</w:t>
      </w:r>
    </w:p>
    <w:p w14:paraId="5F54D439">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（1）施工组织设计：见评标办法前附表；</w:t>
      </w:r>
    </w:p>
    <w:p w14:paraId="545E6F97">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（2）主要人员：见评标办法前附表；</w:t>
      </w:r>
    </w:p>
    <w:p w14:paraId="45EBC860">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（3）投标报价：见评标办法前附表；</w:t>
      </w:r>
    </w:p>
    <w:p w14:paraId="0172E086">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（4）其他评分因素：见评标办法前附表。</w:t>
      </w:r>
    </w:p>
    <w:p w14:paraId="2F1C196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2.2.2评标基准价计算</w:t>
      </w:r>
    </w:p>
    <w:p w14:paraId="640711A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评标基准价计算方法：见评标办法前附表。</w:t>
      </w:r>
    </w:p>
    <w:p w14:paraId="7E3E2B5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2.2.3投标报价的偏差率计算</w:t>
      </w:r>
    </w:p>
    <w:p w14:paraId="3210C88C">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投标报价的偏差率计算公式：见评标办法前附表。</w:t>
      </w:r>
    </w:p>
    <w:p w14:paraId="48EA8218">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2.2.4评分标准</w:t>
      </w:r>
    </w:p>
    <w:p w14:paraId="678DA76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（1）施工组织设计评分标准：见评标办法前附表；</w:t>
      </w:r>
    </w:p>
    <w:p w14:paraId="405B648B">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（2）主要人员评分标准：见评标办法前附表；</w:t>
      </w:r>
    </w:p>
    <w:p w14:paraId="0D2D11B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（3）投标报价评分标准：见评标办法前附表；</w:t>
      </w:r>
    </w:p>
    <w:p w14:paraId="150CB468">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（4）其他因素评分标准：见评标办法前附表。</w:t>
      </w:r>
    </w:p>
    <w:p w14:paraId="2371ABFC">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36" w:name="_Toc26204"/>
      <w:bookmarkStart w:id="37" w:name="_Toc26483"/>
      <w:bookmarkStart w:id="38" w:name="_Toc6731"/>
      <w:bookmarkStart w:id="39" w:name="_Toc35268510"/>
      <w:r>
        <w:rPr>
          <w:rFonts w:hint="eastAsia" w:ascii="宋体" w:hAnsi="宋体" w:eastAsia="宋体" w:cs="宋体"/>
          <w:sz w:val="18"/>
          <w:szCs w:val="18"/>
          <w:highlight w:val="none"/>
        </w:rPr>
        <w:t>3.评标程序</w:t>
      </w:r>
      <w:bookmarkEnd w:id="36"/>
      <w:bookmarkEnd w:id="37"/>
      <w:bookmarkEnd w:id="38"/>
      <w:bookmarkEnd w:id="39"/>
    </w:p>
    <w:p w14:paraId="5ADFB0D8">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40" w:name="_Toc35268511"/>
      <w:bookmarkStart w:id="41" w:name="_Toc19437"/>
      <w:bookmarkStart w:id="42" w:name="_Toc12568"/>
      <w:bookmarkStart w:id="43" w:name="_Toc11903"/>
      <w:r>
        <w:rPr>
          <w:rFonts w:hint="eastAsia" w:ascii="宋体" w:hAnsi="宋体" w:eastAsia="宋体" w:cs="宋体"/>
          <w:sz w:val="18"/>
          <w:szCs w:val="18"/>
          <w:highlight w:val="none"/>
        </w:rPr>
        <w:t>3.1第一个信封初步评审</w:t>
      </w:r>
      <w:bookmarkEnd w:id="40"/>
      <w:bookmarkEnd w:id="41"/>
      <w:bookmarkEnd w:id="42"/>
      <w:bookmarkEnd w:id="43"/>
    </w:p>
    <w:p w14:paraId="5290478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3.1.1评标委员会可以要求投标人提交第二章“投标人须知”第3.5.1项至第3.5.6项规定的有关证明和证件的原件，以便核验。评标委员会依据本章第2.1款规定的标准对投标文件第一个信封（商务及技术文件）进行初步评审。有一项不符合评审标准的，评标委员会应否决其投标。（适用于未进行资格预审的）</w:t>
      </w:r>
    </w:p>
    <w:p w14:paraId="0415DA7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3.1.1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p>
    <w:p w14:paraId="556A024F">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44" w:name="_Toc35268512"/>
      <w:bookmarkStart w:id="45" w:name="_Toc24826"/>
      <w:bookmarkStart w:id="46" w:name="_Toc26957"/>
      <w:bookmarkStart w:id="47" w:name="_Toc20526"/>
      <w:r>
        <w:rPr>
          <w:rFonts w:hint="eastAsia" w:ascii="宋体" w:hAnsi="宋体" w:eastAsia="宋体" w:cs="宋体"/>
          <w:sz w:val="18"/>
          <w:szCs w:val="18"/>
          <w:highlight w:val="none"/>
        </w:rPr>
        <w:t>3.2第一个信封详细评审</w:t>
      </w:r>
      <w:bookmarkEnd w:id="44"/>
      <w:bookmarkEnd w:id="45"/>
      <w:bookmarkEnd w:id="46"/>
      <w:bookmarkEnd w:id="47"/>
    </w:p>
    <w:p w14:paraId="5EE761B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3.2.1评标委员会按本章第2.2款规定的量化因素和分值进行打分，并计算出各投标人的商务和技术得分。</w:t>
      </w:r>
    </w:p>
    <w:p w14:paraId="6D9BD110">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（1）按本章第2.2.4（1）目规定的评审因素和分值对施工组织设计部分计算出得分A；</w:t>
      </w:r>
    </w:p>
    <w:p w14:paraId="0DB0462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（2）按本章第2.2.4（2）目规定的评审因素和分值对主要人员部分计算出得分B；</w:t>
      </w:r>
    </w:p>
    <w:p w14:paraId="3E7F287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（3）按本章第2.2.4（4）目规定的评审因素和分值对其他部分计算出得分D。</w:t>
      </w:r>
    </w:p>
    <w:p w14:paraId="2F3F69B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3.2.2投标人的商务和技术得分分值计算保留小数点后两位，小数点后第三位“四舍五入”。</w:t>
      </w:r>
    </w:p>
    <w:p w14:paraId="2EC681B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3.2.3投标人的商务和技术得分=A+B+D。</w:t>
      </w:r>
    </w:p>
    <w:p w14:paraId="106A4DB4">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48" w:name="_Toc2599"/>
      <w:bookmarkStart w:id="49" w:name="_Toc35268513"/>
      <w:bookmarkStart w:id="50" w:name="_Toc8704"/>
      <w:bookmarkStart w:id="51" w:name="_Toc1786"/>
      <w:r>
        <w:rPr>
          <w:rFonts w:hint="eastAsia" w:ascii="宋体" w:hAnsi="宋体" w:eastAsia="宋体" w:cs="宋体"/>
          <w:sz w:val="18"/>
          <w:szCs w:val="18"/>
          <w:highlight w:val="none"/>
        </w:rPr>
        <w:t>3.3第二个信封开标</w:t>
      </w:r>
      <w:bookmarkEnd w:id="48"/>
      <w:bookmarkEnd w:id="49"/>
      <w:bookmarkEnd w:id="50"/>
      <w:bookmarkEnd w:id="51"/>
    </w:p>
    <w:p w14:paraId="5933A32B">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2D078BFA">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52" w:name="_Toc35268514"/>
      <w:bookmarkStart w:id="53" w:name="_Toc25365"/>
      <w:bookmarkStart w:id="54" w:name="_Toc12443"/>
      <w:bookmarkStart w:id="55" w:name="_Toc12741"/>
      <w:r>
        <w:rPr>
          <w:rFonts w:hint="eastAsia" w:ascii="宋体" w:hAnsi="宋体" w:eastAsia="宋体" w:cs="宋体"/>
          <w:sz w:val="18"/>
          <w:szCs w:val="18"/>
          <w:highlight w:val="none"/>
        </w:rPr>
        <w:t>3.4第二个信封初步评审</w:t>
      </w:r>
      <w:bookmarkEnd w:id="52"/>
      <w:bookmarkEnd w:id="53"/>
      <w:bookmarkEnd w:id="54"/>
      <w:bookmarkEnd w:id="55"/>
    </w:p>
    <w:p w14:paraId="1591CA1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3.4.1评标委员会依据本章第2.1.1项、第2.1.3项规定的评审标准对投标文件第二个信封（报价文件）进行初步评审。有一项不符合评审标准的，评标委员会应否决其投标。</w:t>
      </w:r>
    </w:p>
    <w:p w14:paraId="1503A1A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3.4.2</w:t>
      </w:r>
      <w:r>
        <w:rPr>
          <w:rStyle w:val="10"/>
          <w:rFonts w:hint="eastAsia" w:ascii="宋体" w:hAnsi="宋体" w:eastAsia="宋体" w:cs="宋体"/>
          <w:sz w:val="18"/>
          <w:szCs w:val="18"/>
          <w:highlight w:val="none"/>
        </w:rPr>
        <w:footnoteReference w:id="1"/>
      </w:r>
      <w:r>
        <w:rPr>
          <w:rFonts w:hint="eastAsia" w:ascii="宋体" w:hAnsi="宋体" w:eastAsia="宋体" w:cs="宋体"/>
          <w:sz w:val="18"/>
          <w:szCs w:val="18"/>
          <w:highlight w:val="none"/>
        </w:rPr>
        <w:t>投标报价有算术错误的，评标委员会按以下原则对投标报价进行修正，修正的价格经投标人书面确认后具有约束力。投标人不接受修正价格的，评标委员会应否决其投标。</w:t>
      </w:r>
    </w:p>
    <w:p w14:paraId="475CC1A8">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（1）投标文件中的大写金额与小写金额不一致的，以大写金额为准；</w:t>
      </w:r>
    </w:p>
    <w:p w14:paraId="4C7E22E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（2）总价金额与依据单价计算出的结果不一致的，以单价金额为准修正总价，但单价金额小数点有明显错误的除外；</w:t>
      </w:r>
    </w:p>
    <w:p w14:paraId="1E0D955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（3）当单价与数量相乘不等于合价时，以单价计算为准，如果单价有明显的小数点位置差错，应以标出的合价为准，同时对单价予以修正；</w:t>
      </w:r>
    </w:p>
    <w:p w14:paraId="0A27F96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（4）当各子目的合价累计不等于总价时，应以各子目合价累计数为准，修正总价。</w:t>
      </w:r>
    </w:p>
    <w:p w14:paraId="3A97145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3.4.3工程量清单中的投标报价有其他错误的，评标委员会按以下原则对投标报价进行修正，修正的价格经投标人书面确认后具有约束力。投标人不接受修正价格的，评标委员会应否决其投标。</w:t>
      </w:r>
    </w:p>
    <w:p w14:paraId="50F360F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23DB88AC">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3816F70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（3）当单价与数量的乘积与合价（金额）虽然一致，但投标人修改了该子目的工程数量，则其合价按招标人给定的工程数量乘以投标人所报单价予以修正。</w:t>
      </w:r>
    </w:p>
    <w:p w14:paraId="640F27B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3.4.4修正后的最终投标报价若超过最高投标限价（如有），评标委员会应否决其投标。</w:t>
      </w:r>
    </w:p>
    <w:p w14:paraId="3472D04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3.4.5修正后的最终投标报价仅作为签订合同的一个依据，不参与评标价得分的计算。</w:t>
      </w:r>
    </w:p>
    <w:p w14:paraId="33ADDE62">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56" w:name="_Toc7702"/>
      <w:bookmarkStart w:id="57" w:name="_Toc35268515"/>
      <w:bookmarkStart w:id="58" w:name="_Toc16282"/>
      <w:bookmarkStart w:id="59" w:name="_Toc13645"/>
      <w:r>
        <w:rPr>
          <w:rFonts w:hint="eastAsia" w:ascii="宋体" w:hAnsi="宋体" w:eastAsia="宋体" w:cs="宋体"/>
          <w:sz w:val="18"/>
          <w:szCs w:val="18"/>
          <w:highlight w:val="none"/>
        </w:rPr>
        <w:t>3.5第二个信封详细评审</w:t>
      </w:r>
      <w:bookmarkEnd w:id="56"/>
      <w:bookmarkEnd w:id="57"/>
      <w:bookmarkEnd w:id="58"/>
      <w:bookmarkEnd w:id="59"/>
    </w:p>
    <w:p w14:paraId="30392939">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3.5.1评标委员会按本章第2.2.4（3）目规定的评审因素和分值对投标报价计算出得分C。投标报价得分分值计算保留小数点后两位，小数点后第三位“四舍五入”。</w:t>
      </w:r>
    </w:p>
    <w:p w14:paraId="1BEF3E76">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3.5.2投标人得分=投标人的商务和技术得分+C。</w:t>
      </w:r>
    </w:p>
    <w:p w14:paraId="443BE4AC">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48C06FFA">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60" w:name="_Toc19753"/>
      <w:bookmarkStart w:id="61" w:name="_Toc4642"/>
      <w:bookmarkStart w:id="62" w:name="_Toc12508"/>
      <w:bookmarkStart w:id="63" w:name="_Toc35268516"/>
      <w:r>
        <w:rPr>
          <w:rFonts w:hint="eastAsia" w:ascii="宋体" w:hAnsi="宋体" w:eastAsia="宋体" w:cs="宋体"/>
          <w:sz w:val="18"/>
          <w:szCs w:val="18"/>
          <w:highlight w:val="none"/>
        </w:rPr>
        <w:t>3.6投标文件相关信息的核查</w:t>
      </w:r>
      <w:bookmarkEnd w:id="60"/>
      <w:bookmarkEnd w:id="61"/>
      <w:bookmarkEnd w:id="62"/>
      <w:bookmarkEnd w:id="63"/>
    </w:p>
    <w:p w14:paraId="1994AD5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3.6.1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77CA2B6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21EF2D77">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（1）有下列情形之一的，属于投标人相互串通投标：</w:t>
      </w:r>
    </w:p>
    <w:p w14:paraId="6FAFE03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a.投标人之间协商投标报价等投标文件的实质性内容；</w:t>
      </w:r>
    </w:p>
    <w:p w14:paraId="4939310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b.投标人之间约定中标人；</w:t>
      </w:r>
    </w:p>
    <w:p w14:paraId="321A1F5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c.投标人之间约定部分投标人放弃投标或中标；</w:t>
      </w:r>
    </w:p>
    <w:p w14:paraId="2F3087D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d.属于同一集团、协会、商会等组织成员的投标人按照该组织要求协同投标；</w:t>
      </w:r>
    </w:p>
    <w:p w14:paraId="73D766D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e.投标人之间为谋取中标或者排斥特定投标人而采取的其他联合行动。</w:t>
      </w:r>
    </w:p>
    <w:p w14:paraId="29923BD9">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（2）有下列情形之一的，视为投标人相互串通投标：</w:t>
      </w:r>
    </w:p>
    <w:p w14:paraId="6A0ECE9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a.不同投标人的投标文件由同一单位或者个人编制；</w:t>
      </w:r>
    </w:p>
    <w:p w14:paraId="55178F9A">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b.不同投标人委托同一单位或个人办理投标事宜；</w:t>
      </w:r>
    </w:p>
    <w:p w14:paraId="03ECFB9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c.不同投标人的投标文件载明的项目管理成员为同一人；</w:t>
      </w:r>
    </w:p>
    <w:p w14:paraId="357D626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d.不同投标人的投标文件异常一致或投标报价呈规律性差异；</w:t>
      </w:r>
    </w:p>
    <w:p w14:paraId="2634848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e.不同投标人的投标文件相互混装；</w:t>
      </w:r>
    </w:p>
    <w:p w14:paraId="47CDD01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f.不同投标人的投标保证金从同一单位或个人的账户转出。</w:t>
      </w:r>
    </w:p>
    <w:p w14:paraId="3DB5DFE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（3）有下列情形之一的，属于招标人与投标人串通投标：</w:t>
      </w:r>
    </w:p>
    <w:p w14:paraId="055B3B99">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a.招标人在开标前开启投标文件并将有关信息泄露给其他投标人；</w:t>
      </w:r>
    </w:p>
    <w:p w14:paraId="180A032C">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b.招标人直接或间接向投标人泄露标底、评标委员会成员等信息；</w:t>
      </w:r>
    </w:p>
    <w:p w14:paraId="5328775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c.招标人明示或暗示投标人压低或抬高投标报价；</w:t>
      </w:r>
    </w:p>
    <w:p w14:paraId="5278167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d.招标人授意投标人撤换、修改投标文件；</w:t>
      </w:r>
    </w:p>
    <w:p w14:paraId="64026104">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e.招标人明示或暗示投标人为特定投标人中标提供方便；</w:t>
      </w:r>
    </w:p>
    <w:p w14:paraId="4A50C07A">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f.招标人与投标人为谋求特定投标人中标而采取的其他串通行为。</w:t>
      </w:r>
    </w:p>
    <w:p w14:paraId="16F4E2FD">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（4）投标人有下列情形之一的，属于弄虚作假的行为：</w:t>
      </w:r>
    </w:p>
    <w:p w14:paraId="4BB4AF25">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a.使用通过受让或租借等方式获取的资格、资质证书投标；</w:t>
      </w:r>
    </w:p>
    <w:p w14:paraId="6DAFF0DC">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b.使用伪造、变造的许可证件；</w:t>
      </w:r>
    </w:p>
    <w:p w14:paraId="11B820A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c.提供虚假的财务状况或业绩；</w:t>
      </w:r>
    </w:p>
    <w:p w14:paraId="5FC8B24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d.提供虚假的项目负责人或主要技术人员简历、劳动关系证明；</w:t>
      </w:r>
    </w:p>
    <w:p w14:paraId="316D30CE">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e.提供虚假的信用状况；</w:t>
      </w:r>
    </w:p>
    <w:p w14:paraId="44F619D7">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f.其他弄虚作假的行为。</w:t>
      </w:r>
    </w:p>
    <w:p w14:paraId="304A2021">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64" w:name="_Toc4008"/>
      <w:bookmarkStart w:id="65" w:name="_Toc6732"/>
      <w:bookmarkStart w:id="66" w:name="_Toc9089"/>
      <w:bookmarkStart w:id="67" w:name="_Toc35268517"/>
      <w:r>
        <w:rPr>
          <w:rFonts w:hint="eastAsia" w:ascii="宋体" w:hAnsi="宋体" w:eastAsia="宋体" w:cs="宋体"/>
          <w:sz w:val="18"/>
          <w:szCs w:val="18"/>
          <w:highlight w:val="none"/>
        </w:rPr>
        <w:t>3.7投标文件的澄清和说明</w:t>
      </w:r>
      <w:bookmarkEnd w:id="64"/>
      <w:bookmarkEnd w:id="65"/>
      <w:bookmarkEnd w:id="66"/>
      <w:bookmarkEnd w:id="67"/>
    </w:p>
    <w:p w14:paraId="26BF4F5B">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3.7.1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145426D6">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3.7.2澄清和说明不得超出投标文件的范围或改变投标文件的实质性内容（算术性错误修正的除外）。投标人的书面澄清、说明属于投标文件的组成部分。</w:t>
      </w:r>
    </w:p>
    <w:p w14:paraId="7B628BDF">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3.7.3评标委员会不得暗示或诱导投标人作出澄清、说明，对投标人提交的澄清、说明有疑问的，可以要求投标人进一步澄清或说明，直至满足评标委员会的要求。</w:t>
      </w:r>
    </w:p>
    <w:p w14:paraId="0E9CE9B1">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3.7.4凡超出招标文件规定的或给发包人带来未曾要求的利益的变化、偏差或其他因素在评标时不予考虑。</w:t>
      </w:r>
    </w:p>
    <w:p w14:paraId="34BDF28F">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68" w:name="_Toc20687"/>
      <w:bookmarkStart w:id="69" w:name="_Toc35268518"/>
      <w:bookmarkStart w:id="70" w:name="_Toc4878"/>
      <w:bookmarkStart w:id="71" w:name="_Toc8482"/>
      <w:r>
        <w:rPr>
          <w:rFonts w:hint="eastAsia" w:ascii="宋体" w:hAnsi="宋体" w:eastAsia="宋体" w:cs="宋体"/>
          <w:sz w:val="18"/>
          <w:szCs w:val="18"/>
          <w:highlight w:val="none"/>
        </w:rPr>
        <w:t>3.8不得否决投标的情形</w:t>
      </w:r>
      <w:bookmarkEnd w:id="68"/>
      <w:bookmarkEnd w:id="69"/>
      <w:bookmarkEnd w:id="70"/>
      <w:bookmarkEnd w:id="71"/>
    </w:p>
    <w:p w14:paraId="760F27D2">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投标文件存在第二章“投标人须知”第1.12.3项所列情形的，均视为细微偏差，评标委员会不得否决投标人的投标，应按照第二章“投标人须知”第1.12.4项规定的原则处理。</w:t>
      </w:r>
    </w:p>
    <w:p w14:paraId="3E779541">
      <w:pPr>
        <w:pStyle w:val="2"/>
        <w:pageBreakBefore w:val="0"/>
        <w:widowControl w:val="0"/>
        <w:kinsoku/>
        <w:wordWrap/>
        <w:overflowPunct/>
        <w:topLinePunct w:val="0"/>
        <w:autoSpaceDE/>
        <w:autoSpaceDN/>
        <w:bidi w:val="0"/>
        <w:adjustRightInd/>
        <w:snapToGrid/>
        <w:spacing w:before="0" w:after="0" w:line="240" w:lineRule="exact"/>
        <w:textAlignment w:val="auto"/>
        <w:rPr>
          <w:rFonts w:hint="eastAsia" w:ascii="宋体" w:hAnsi="宋体" w:eastAsia="宋体" w:cs="宋体"/>
          <w:sz w:val="18"/>
          <w:szCs w:val="18"/>
          <w:highlight w:val="none"/>
        </w:rPr>
      </w:pPr>
      <w:bookmarkStart w:id="72" w:name="_Toc4818"/>
      <w:bookmarkStart w:id="73" w:name="_Toc26324"/>
      <w:bookmarkStart w:id="74" w:name="_Toc35268519"/>
      <w:bookmarkStart w:id="75" w:name="_Toc11500"/>
      <w:r>
        <w:rPr>
          <w:rFonts w:hint="eastAsia" w:ascii="宋体" w:hAnsi="宋体" w:eastAsia="宋体" w:cs="宋体"/>
          <w:sz w:val="18"/>
          <w:szCs w:val="18"/>
          <w:highlight w:val="none"/>
        </w:rPr>
        <w:t>3.9评标结果</w:t>
      </w:r>
      <w:bookmarkEnd w:id="72"/>
      <w:bookmarkEnd w:id="73"/>
      <w:bookmarkEnd w:id="74"/>
      <w:bookmarkEnd w:id="75"/>
    </w:p>
    <w:p w14:paraId="0CA5C318">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3.9.1除第二章“投标人须知”前附表授权直接确定中标人外，评标委员会按照得分由高到低的顺序推荐中标候选人，并标明排序。</w:t>
      </w:r>
    </w:p>
    <w:p w14:paraId="4E3A3973">
      <w:pPr>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3.9.2评标委员会完成评标后，应向招标人提交书面评标报告。</w:t>
      </w:r>
    </w:p>
    <w:p w14:paraId="02A631E2">
      <w:pPr>
        <w:rPr>
          <w:rFonts w:hint="eastAsia" w:ascii="宋体" w:hAnsi="宋体" w:eastAsia="宋体" w:cs="宋体"/>
          <w:sz w:val="18"/>
          <w:szCs w:val="1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6080D">
    <w:pPr>
      <w:pStyle w:val="5"/>
      <w:jc w:val="center"/>
      <w:rPr>
        <w:rFonts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2990215</wp:posOffset>
              </wp:positionH>
              <wp:positionV relativeFrom="paragraph">
                <wp:posOffset>0</wp:posOffset>
              </wp:positionV>
              <wp:extent cx="338455" cy="25209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338455" cy="2520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E2915">
                          <w:pPr>
                            <w:rPr>
                              <w:rFonts w:ascii="宋体" w:hAnsi="宋体"/>
                              <w:szCs w:val="21"/>
                            </w:rPr>
                          </w:pPr>
                          <w:r>
                            <w:rPr>
                              <w:rFonts w:ascii="宋体" w:hAnsi="宋体"/>
                              <w:szCs w:val="21"/>
                            </w:rPr>
                            <w:fldChar w:fldCharType="begin"/>
                          </w:r>
                          <w:r>
                            <w:rPr>
                              <w:rFonts w:ascii="宋体" w:hAnsi="宋体"/>
                              <w:szCs w:val="21"/>
                            </w:rPr>
                            <w:instrText xml:space="preserve"> PAGE  \* MERGEFORMAT </w:instrText>
                          </w:r>
                          <w:r>
                            <w:rPr>
                              <w:rFonts w:ascii="宋体" w:hAnsi="宋体"/>
                              <w:szCs w:val="21"/>
                            </w:rPr>
                            <w:fldChar w:fldCharType="separate"/>
                          </w:r>
                          <w:r>
                            <w:rPr>
                              <w:rFonts w:ascii="宋体" w:hAnsi="宋体"/>
                              <w:szCs w:val="21"/>
                            </w:rPr>
                            <w:t>1</w:t>
                          </w:r>
                          <w:r>
                            <w:rPr>
                              <w:rFonts w:ascii="宋体" w:hAnsi="宋体"/>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35.45pt;margin-top:0pt;height:19.85pt;width:26.65pt;mso-position-horizontal-relative:margin;z-index:251659264;mso-width-relative:page;mso-height-relative:page;" filled="f" stroked="f" coordsize="21600,21600" o:gfxdata="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6aOD1gAAAAcBAAAPAAAAAAAAAAEAIAAAACIAAABkcnMvZG93bnJldi54bWxQ&#10;SwECFAAUAAAACACHTuJA1N6fPjICAABXBAAADgAAAAAAAAABACAAAAAlAQAAZHJzL2Uyb0RvYy54&#10;bWxQSwUGAAAAAAYABgBZAQAAyQUAAAAA&#10;">
              <v:fill on="f" focussize="0,0"/>
              <v:stroke on="f" weight="0.5pt"/>
              <v:imagedata o:title=""/>
              <o:lock v:ext="edit" aspectratio="f"/>
              <v:textbox inset="0mm,0mm,0mm,0mm">
                <w:txbxContent>
                  <w:p w14:paraId="130E2915">
                    <w:pPr>
                      <w:rPr>
                        <w:rFonts w:ascii="宋体" w:hAnsi="宋体"/>
                        <w:szCs w:val="21"/>
                      </w:rPr>
                    </w:pPr>
                    <w:r>
                      <w:rPr>
                        <w:rFonts w:ascii="宋体" w:hAnsi="宋体"/>
                        <w:szCs w:val="21"/>
                      </w:rPr>
                      <w:fldChar w:fldCharType="begin"/>
                    </w:r>
                    <w:r>
                      <w:rPr>
                        <w:rFonts w:ascii="宋体" w:hAnsi="宋体"/>
                        <w:szCs w:val="21"/>
                      </w:rPr>
                      <w:instrText xml:space="preserve"> PAGE  \* MERGEFORMAT </w:instrText>
                    </w:r>
                    <w:r>
                      <w:rPr>
                        <w:rFonts w:ascii="宋体" w:hAnsi="宋体"/>
                        <w:szCs w:val="21"/>
                      </w:rPr>
                      <w:fldChar w:fldCharType="separate"/>
                    </w:r>
                    <w:r>
                      <w:rPr>
                        <w:rFonts w:ascii="宋体" w:hAnsi="宋体"/>
                        <w:szCs w:val="21"/>
                      </w:rPr>
                      <w:t>1</w:t>
                    </w:r>
                    <w:r>
                      <w:rPr>
                        <w:rFonts w:ascii="宋体" w:hAnsi="宋体"/>
                        <w:szCs w:val="21"/>
                      </w:rPr>
                      <w:fldChar w:fldCharType="end"/>
                    </w:r>
                  </w:p>
                </w:txbxContent>
              </v:textbox>
            </v:shape>
          </w:pict>
        </mc:Fallback>
      </mc:AlternateContent>
    </w:r>
  </w:p>
  <w:p w14:paraId="489FAC65">
    <w:pPr>
      <w:pStyle w:val="5"/>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11A81D9F">
      <w:pPr>
        <w:pStyle w:val="6"/>
        <w:jc w:val="both"/>
        <w:rPr>
          <w:rFonts w:ascii="楷体" w:hAnsi="楷体" w:eastAsia="楷体"/>
        </w:rPr>
      </w:pPr>
      <w:r>
        <w:rPr>
          <w:rStyle w:val="10"/>
        </w:rPr>
        <w:footnoteRef/>
      </w:r>
      <w:r>
        <w:rPr>
          <w:rFonts w:hint="eastAsia" w:ascii="楷体" w:hAnsi="楷体" w:eastAsia="楷体"/>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 w:id="1">
    <w:p w14:paraId="7985201E">
      <w:pPr>
        <w:pStyle w:val="6"/>
      </w:pPr>
      <w:r>
        <w:rPr>
          <w:rStyle w:val="10"/>
        </w:rPr>
        <w:footnoteRef/>
      </w:r>
      <w:r>
        <w:t xml:space="preserve"> </w:t>
      </w:r>
      <w:r>
        <w:rPr>
          <w:rFonts w:hint="eastAsia"/>
        </w:rPr>
        <w:t>如本项目招标采用第二章“投标人须知”第3.2.1项（2）目规定的由投标人按照招标人提供的工程量清单填写本合同各工程子目的单价、合价和总额价方式，则评标委员会按照本章第3.4.2项和第3.4.3项的规定对投标人的投标报价进行修正。如本项目招标采用第二章“投标人须知”第3.2.1项（1）目规定的投标人按照招标人提供的工程量固化清单电子文件填写工程量清单的，无须按照本章第3.4.2项和第3.4.3项的规定对投标报价进行修正，第3.4.2项至第3.4.5项内容不适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1F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F1499"/>
    <w:multiLevelType w:val="singleLevel"/>
    <w:tmpl w:val="6F4F149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2A0AFF"/>
    <w:rsid w:val="2FF655FC"/>
    <w:rsid w:val="339733AC"/>
    <w:rsid w:val="47DC325F"/>
    <w:rsid w:val="5C0F5926"/>
    <w:rsid w:val="62A0552A"/>
    <w:rsid w:val="667C4151"/>
    <w:rsid w:val="70E15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color w:val="000000"/>
      <w:kern w:val="2"/>
      <w:sz w:val="21"/>
      <w:szCs w:val="18"/>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4"/>
    <w:basedOn w:val="1"/>
    <w:next w:val="1"/>
    <w:qFormat/>
    <w:uiPriority w:val="9"/>
    <w:pPr>
      <w:tabs>
        <w:tab w:val="left" w:pos="315"/>
      </w:tabs>
      <w:spacing w:before="120" w:after="120"/>
      <w:outlineLvl w:val="3"/>
    </w:pPr>
    <w:rPr>
      <w:rFonts w:ascii="Cambria" w:hAnsi="Cambria" w:eastAsia="黑体"/>
      <w:bCs/>
      <w:sz w:val="24"/>
      <w:szCs w:val="28"/>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footnote text"/>
    <w:basedOn w:val="1"/>
    <w:unhideWhenUsed/>
    <w:qFormat/>
    <w:uiPriority w:val="0"/>
    <w:pPr>
      <w:snapToGrid w:val="0"/>
      <w:jc w:val="left"/>
    </w:pPr>
    <w:rPr>
      <w:kern w:val="0"/>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10">
    <w:name w:val="footnote reference"/>
    <w:basedOn w:val="9"/>
    <w:qFormat/>
    <w:uiPriority w:val="0"/>
    <w:rPr>
      <w:vertAlign w:val="superscript"/>
    </w:rPr>
  </w:style>
  <w:style w:type="paragraph" w:customStyle="1" w:styleId="11">
    <w:name w:val="正文文本 (2)"/>
    <w:basedOn w:val="1"/>
    <w:qFormat/>
    <w:uiPriority w:val="0"/>
    <w:pPr>
      <w:shd w:val="clear" w:color="auto" w:fill="FFFFFF"/>
      <w:spacing w:before="300" w:line="439" w:lineRule="exact"/>
      <w:jc w:val="distribute"/>
    </w:pPr>
    <w:rPr>
      <w:rFonts w:ascii="宋体" w:hAnsi="宋体" w:cs="宋体"/>
      <w:kern w:val="0"/>
      <w:sz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8891</Words>
  <Characters>9343</Characters>
  <Lines>0</Lines>
  <Paragraphs>0</Paragraphs>
  <TotalTime>0</TotalTime>
  <ScaleCrop>false</ScaleCrop>
  <LinksUpToDate>false</LinksUpToDate>
  <CharactersWithSpaces>9343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2026-07-23T06:15:00Z</dcterms:created>
  <dc:creator>GCZX</dc:creator>
  <cp:lastModifiedBy>董镕睿</cp:lastModifiedBy>
  <dcterms:modified xsi:type="dcterms:W3CDTF">2026-07-27T04:36:15Z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eyJoZGlkIjoiMzUwMTdjMmZiZjFkYzAzMjAxOTJlYjM2OTYzYmQ2ZDgiLCJ1c2VySWQiOiIxNzczNzI5OTA4In0=</vt:lpwstr>
  </property>
  <property fmtid="{D5CDD505-2E9C-101B-9397-08002B2CF9AE}" pid="4" name="ICV">
    <vt:lpwstr>333E0166343846E7BD86A5BDB7DFEBD1_12</vt:lpwstr>
  </property>
</Properties>
</file>